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360"/>
        </w:tabs>
        <w:autoSpaceDE/>
        <w:autoSpaceDN/>
        <w:adjustRightInd/>
        <w:snapToGrid/>
        <w:spacing w:after="0"/>
        <w:jc w:val="left"/>
        <w:rPr>
          <w:rFonts w:hint="eastAsia" w:ascii="Arial" w:hAnsi="Arial" w:eastAsia="MS Mincho"/>
          <w:b/>
          <w:sz w:val="28"/>
          <w:lang w:eastAsia="zh-CN"/>
        </w:rPr>
      </w:pPr>
      <w:bookmarkStart w:id="0" w:name="OLE_LINK3"/>
      <w:r>
        <w:rPr>
          <w:rFonts w:ascii="Arial" w:hAnsi="Arial" w:eastAsia="MS Mincho"/>
          <w:b/>
          <w:sz w:val="28"/>
        </w:rPr>
        <w:t xml:space="preserve">3GPP TSG RAN </w:t>
      </w:r>
      <w:r>
        <w:rPr>
          <w:rFonts w:ascii="Arial" w:hAnsi="Arial" w:cs="Arial"/>
          <w:b/>
          <w:bCs/>
          <w:sz w:val="28"/>
        </w:rPr>
        <w:t>WG1#10</w:t>
      </w:r>
      <w:r>
        <w:rPr>
          <w:rFonts w:hint="eastAsia" w:ascii="Arial" w:hAnsi="Arial" w:cs="Arial"/>
          <w:b/>
          <w:bCs/>
          <w:sz w:val="28"/>
          <w:lang w:val="en-US" w:eastAsia="zh-CN"/>
        </w:rPr>
        <w:t>7</w:t>
      </w:r>
      <w:r>
        <w:rPr>
          <w:rFonts w:ascii="Arial" w:hAnsi="Arial" w:cs="Arial"/>
          <w:b/>
          <w:bCs/>
          <w:sz w:val="28"/>
        </w:rPr>
        <w:t>-e</w:t>
      </w:r>
      <w:r>
        <w:rPr>
          <w:rFonts w:ascii="Arial" w:hAnsi="Arial" w:eastAsia="MS Mincho"/>
          <w:b/>
          <w:sz w:val="28"/>
        </w:rPr>
        <w:t xml:space="preserve">             </w:t>
      </w:r>
      <w:r>
        <w:rPr>
          <w:rFonts w:ascii="Arial" w:hAnsi="Arial" w:eastAsia="宋体"/>
          <w:b/>
          <w:sz w:val="28"/>
          <w:lang w:eastAsia="zh-CN"/>
        </w:rPr>
        <w:t xml:space="preserve">         </w:t>
      </w:r>
      <w:r>
        <w:rPr>
          <w:rFonts w:hint="eastAsia" w:ascii="Arial" w:hAnsi="Arial" w:eastAsia="宋体"/>
          <w:b/>
          <w:sz w:val="28"/>
          <w:lang w:val="en-US" w:eastAsia="zh-CN"/>
        </w:rPr>
        <w:t xml:space="preserve">  </w:t>
      </w:r>
      <w:r>
        <w:rPr>
          <w:rFonts w:ascii="Arial" w:hAnsi="Arial" w:eastAsia="宋体"/>
          <w:b/>
          <w:sz w:val="28"/>
          <w:lang w:eastAsia="zh-CN"/>
        </w:rPr>
        <w:t xml:space="preserve"> </w:t>
      </w:r>
      <w:r>
        <w:rPr>
          <w:rFonts w:hint="eastAsia" w:ascii="Arial" w:hAnsi="Arial" w:eastAsia="宋体"/>
          <w:b/>
          <w:sz w:val="28"/>
          <w:lang w:eastAsia="zh-CN"/>
        </w:rPr>
        <w:t xml:space="preserve">     </w:t>
      </w:r>
      <w:r>
        <w:rPr>
          <w:rFonts w:ascii="Arial" w:hAnsi="Arial" w:eastAsia="宋体"/>
          <w:b/>
          <w:sz w:val="28"/>
          <w:lang w:eastAsia="zh-CN"/>
        </w:rPr>
        <w:t xml:space="preserve"> </w:t>
      </w:r>
      <w:r>
        <w:rPr>
          <w:rFonts w:hint="eastAsia" w:ascii="Arial" w:hAnsi="Arial" w:eastAsia="宋体"/>
          <w:b/>
          <w:sz w:val="28"/>
          <w:lang w:val="en-US" w:eastAsia="zh-CN"/>
        </w:rPr>
        <w:t xml:space="preserve"> </w:t>
      </w:r>
      <w:r>
        <w:rPr>
          <w:rFonts w:hint="eastAsia" w:ascii="Arial" w:hAnsi="Arial" w:eastAsia="MS Mincho"/>
          <w:b/>
          <w:sz w:val="28"/>
          <w:lang w:eastAsia="zh-CN"/>
        </w:rPr>
        <w:t xml:space="preserve"> </w:t>
      </w:r>
      <w:r>
        <w:rPr>
          <w:rFonts w:hint="eastAsia" w:ascii="Arial" w:hAnsi="Arial" w:eastAsia="MS Mincho"/>
          <w:b/>
          <w:sz w:val="28"/>
        </w:rPr>
        <w:t>R1-2111070</w:t>
      </w:r>
    </w:p>
    <w:bookmarkEnd w:id="0"/>
    <w:p>
      <w:pPr>
        <w:tabs>
          <w:tab w:val="center" w:pos="4536"/>
          <w:tab w:val="right" w:pos="9072"/>
        </w:tabs>
        <w:autoSpaceDE/>
        <w:autoSpaceDN/>
        <w:adjustRightInd/>
        <w:snapToGrid/>
        <w:spacing w:line="276" w:lineRule="auto"/>
        <w:jc w:val="left"/>
        <w:rPr>
          <w:rFonts w:ascii="Arial" w:hAnsi="Arial" w:eastAsia="宋体" w:cs="Arial"/>
          <w:b/>
          <w:bCs/>
          <w:sz w:val="28"/>
          <w:lang w:eastAsia="ja-JP"/>
        </w:rPr>
      </w:pPr>
      <w:r>
        <w:rPr>
          <w:rFonts w:ascii="Arial" w:hAnsi="Arial" w:eastAsia="MS Mincho" w:cs="Arial"/>
          <w:b/>
          <w:sz w:val="28"/>
          <w:szCs w:val="24"/>
          <w:lang w:val="en-US" w:bidi="ar"/>
        </w:rPr>
        <w:t>e-Meeting, November 11</w:t>
      </w:r>
      <w:r>
        <w:rPr>
          <w:rFonts w:hint="default" w:ascii="Arial" w:hAnsi="Arial" w:eastAsia="MS Mincho" w:cs="Arial"/>
          <w:b/>
          <w:sz w:val="28"/>
          <w:szCs w:val="24"/>
          <w:vertAlign w:val="superscript"/>
          <w:lang w:val="en-US" w:bidi="ar"/>
        </w:rPr>
        <w:t>th</w:t>
      </w:r>
      <w:r>
        <w:rPr>
          <w:rFonts w:hint="default" w:ascii="Arial" w:hAnsi="Arial" w:eastAsia="MS Mincho" w:cs="Arial"/>
          <w:b/>
          <w:sz w:val="28"/>
          <w:szCs w:val="24"/>
          <w:lang w:val="en-US" w:bidi="ar"/>
        </w:rPr>
        <w:t xml:space="preserve"> – 19</w:t>
      </w:r>
      <w:r>
        <w:rPr>
          <w:rFonts w:hint="default" w:ascii="Arial" w:hAnsi="Arial" w:eastAsia="MS Mincho" w:cs="Arial"/>
          <w:b/>
          <w:sz w:val="28"/>
          <w:szCs w:val="24"/>
          <w:vertAlign w:val="superscript"/>
          <w:lang w:val="en-US" w:bidi="ar"/>
        </w:rPr>
        <w:t>th</w:t>
      </w:r>
      <w:r>
        <w:rPr>
          <w:rFonts w:ascii="Arial" w:hAnsi="Arial" w:eastAsia="MS Mincho" w:cs="Arial"/>
          <w:b/>
          <w:bCs/>
          <w:sz w:val="28"/>
          <w:szCs w:val="24"/>
          <w:lang w:val="en-GB" w:eastAsia="ja-JP"/>
        </w:rPr>
        <w:t>, 2021</w:t>
      </w:r>
    </w:p>
    <w:p>
      <w:pPr>
        <w:tabs>
          <w:tab w:val="center" w:pos="4536"/>
          <w:tab w:val="right" w:pos="9072"/>
        </w:tabs>
        <w:rPr>
          <w:rFonts w:ascii="Arial" w:hAnsi="Arial" w:cs="Arial"/>
          <w:b/>
          <w:sz w:val="24"/>
          <w:szCs w:val="24"/>
          <w:lang w:eastAsia="zh-CN"/>
        </w:rPr>
      </w:pPr>
    </w:p>
    <w:p>
      <w:pPr>
        <w:tabs>
          <w:tab w:val="left" w:pos="1985"/>
        </w:tabs>
        <w:rPr>
          <w:rFonts w:ascii="Arial" w:hAnsi="Arial" w:cs="Arial"/>
          <w:b/>
          <w:sz w:val="24"/>
          <w:szCs w:val="24"/>
          <w:lang w:eastAsia="zh-CN"/>
        </w:rPr>
      </w:pPr>
      <w:r>
        <w:rPr>
          <w:rFonts w:ascii="Arial" w:hAnsi="Arial" w:cs="Arial"/>
          <w:b/>
          <w:sz w:val="24"/>
          <w:szCs w:val="24"/>
        </w:rPr>
        <w:t xml:space="preserve">Source: </w:t>
      </w:r>
      <w:r>
        <w:rPr>
          <w:rFonts w:ascii="Arial" w:hAnsi="Arial" w:cs="Arial"/>
          <w:b/>
          <w:sz w:val="24"/>
          <w:szCs w:val="24"/>
        </w:rPr>
        <w:tab/>
      </w:r>
      <w:r>
        <w:rPr>
          <w:rFonts w:ascii="Arial" w:hAnsi="Arial" w:cs="Arial"/>
          <w:b/>
          <w:sz w:val="24"/>
          <w:szCs w:val="24"/>
          <w:lang w:eastAsia="zh-CN"/>
        </w:rPr>
        <w:t>ZTE</w:t>
      </w:r>
    </w:p>
    <w:p>
      <w:pPr>
        <w:tabs>
          <w:tab w:val="left" w:pos="1985"/>
        </w:tabs>
        <w:ind w:left="1988" w:hanging="1980"/>
        <w:rPr>
          <w:rFonts w:ascii="Arial" w:hAnsi="Arial" w:cs="Arial"/>
          <w:b/>
          <w:sz w:val="24"/>
          <w:szCs w:val="24"/>
          <w:lang w:eastAsia="zh-CN"/>
        </w:rPr>
      </w:pPr>
      <w:r>
        <w:rPr>
          <w:rFonts w:ascii="Arial" w:hAnsi="Arial" w:cs="Arial"/>
          <w:b/>
          <w:sz w:val="24"/>
          <w:szCs w:val="24"/>
        </w:rPr>
        <w:t>Title:</w:t>
      </w:r>
      <w:r>
        <w:rPr>
          <w:rFonts w:ascii="Arial" w:hAnsi="Arial" w:cs="Arial"/>
          <w:sz w:val="24"/>
          <w:szCs w:val="24"/>
        </w:rPr>
        <w:tab/>
      </w:r>
      <w:bookmarkStart w:id="1" w:name="OLE_LINK8"/>
      <w:r>
        <w:rPr>
          <w:rFonts w:ascii="Arial" w:hAnsi="Arial" w:cs="Arial"/>
          <w:b/>
          <w:sz w:val="24"/>
          <w:szCs w:val="24"/>
          <w:lang w:eastAsia="zh-CN"/>
        </w:rPr>
        <w:t>Discussion on 16QAM for NB-IoT</w:t>
      </w:r>
      <w:bookmarkEnd w:id="1"/>
    </w:p>
    <w:p>
      <w:pPr>
        <w:tabs>
          <w:tab w:val="left" w:pos="1985"/>
        </w:tabs>
        <w:ind w:left="1988" w:hanging="1980"/>
        <w:rPr>
          <w:rFonts w:ascii="Arial" w:hAnsi="Arial" w:cs="Arial"/>
          <w:sz w:val="24"/>
          <w:szCs w:val="24"/>
          <w:lang w:eastAsia="zh-CN"/>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8.9.1</w:t>
      </w:r>
    </w:p>
    <w:p>
      <w:pPr>
        <w:tabs>
          <w:tab w:val="left" w:pos="1985"/>
          <w:tab w:val="right" w:pos="10490"/>
        </w:tabs>
        <w:rPr>
          <w:rFonts w:ascii="Arial" w:hAnsi="Arial" w:cs="Arial"/>
          <w:b/>
          <w:sz w:val="24"/>
          <w:szCs w:val="24"/>
          <w:lang w:eastAsia="zh-CN"/>
        </w:rPr>
      </w:pPr>
      <w:r>
        <w:rPr>
          <w:rFonts w:ascii="Arial" w:hAnsi="Arial" w:cs="Arial"/>
          <w:b/>
          <w:sz w:val="24"/>
          <w:szCs w:val="24"/>
        </w:rPr>
        <w:t>Document for:</w:t>
      </w:r>
      <w:r>
        <w:rPr>
          <w:rFonts w:ascii="Arial" w:hAnsi="Arial" w:cs="Arial"/>
          <w:sz w:val="24"/>
          <w:szCs w:val="24"/>
        </w:rPr>
        <w:tab/>
      </w:r>
      <w:r>
        <w:rPr>
          <w:rFonts w:ascii="Arial" w:hAnsi="Arial" w:cs="Arial"/>
          <w:b/>
          <w:sz w:val="24"/>
          <w:szCs w:val="24"/>
          <w:lang w:eastAsia="zh-CN"/>
        </w:rPr>
        <w:t>Discussion</w:t>
      </w:r>
    </w:p>
    <w:p>
      <w:pPr>
        <w:pStyle w:val="2"/>
        <w:keepLines/>
        <w:numPr>
          <w:ilvl w:val="0"/>
          <w:numId w:val="4"/>
        </w:numPr>
        <w:pBdr>
          <w:top w:val="single" w:color="auto" w:sz="12" w:space="3"/>
        </w:pBdr>
        <w:autoSpaceDE/>
        <w:autoSpaceDN/>
        <w:adjustRightInd/>
        <w:snapToGrid/>
        <w:spacing w:after="180"/>
        <w:jc w:val="left"/>
        <w:rPr>
          <w:rFonts w:cs="Arial"/>
        </w:rPr>
      </w:pPr>
      <w:bookmarkStart w:id="2" w:name="_Ref129681862"/>
      <w:bookmarkStart w:id="3" w:name="_Ref124589705"/>
      <w:r>
        <w:rPr>
          <w:rFonts w:cs="Arial"/>
        </w:rPr>
        <w:t>Introduction</w:t>
      </w:r>
      <w:bookmarkEnd w:id="2"/>
      <w:bookmarkEnd w:id="3"/>
    </w:p>
    <w:p>
      <w:pPr>
        <w:rPr>
          <w:rFonts w:hint="eastAsia" w:eastAsia="宋体"/>
          <w:sz w:val="20"/>
          <w:szCs w:val="20"/>
          <w:lang w:val="en-US" w:eastAsia="zh-CN"/>
        </w:rPr>
      </w:pPr>
      <w:bookmarkStart w:id="4" w:name="OLE_LINK4"/>
      <w:r>
        <w:rPr>
          <w:rFonts w:eastAsia="宋体"/>
          <w:sz w:val="20"/>
          <w:szCs w:val="20"/>
          <w:lang w:eastAsia="zh-CN"/>
        </w:rPr>
        <w:t>In RAN</w:t>
      </w:r>
      <w:r>
        <w:rPr>
          <w:rFonts w:hint="eastAsia" w:eastAsia="宋体"/>
          <w:sz w:val="20"/>
          <w:szCs w:val="20"/>
          <w:lang w:eastAsia="zh-CN"/>
        </w:rPr>
        <w:t>1#</w:t>
      </w:r>
      <w:r>
        <w:rPr>
          <w:rFonts w:eastAsia="宋体"/>
          <w:sz w:val="20"/>
          <w:szCs w:val="20"/>
          <w:lang w:eastAsia="zh-CN"/>
        </w:rPr>
        <w:t>10</w:t>
      </w:r>
      <w:r>
        <w:rPr>
          <w:rFonts w:hint="eastAsia" w:eastAsia="宋体"/>
          <w:sz w:val="20"/>
          <w:szCs w:val="20"/>
          <w:lang w:val="en-US" w:eastAsia="zh-CN"/>
        </w:rPr>
        <w:t>6bis</w:t>
      </w:r>
      <w:r>
        <w:rPr>
          <w:rFonts w:eastAsia="宋体"/>
          <w:sz w:val="20"/>
          <w:szCs w:val="20"/>
          <w:lang w:eastAsia="zh-CN"/>
        </w:rPr>
        <w:t xml:space="preserve"> e-meeting, DL and UL 16QAM for NB-IoT was discussed</w:t>
      </w:r>
      <w:r>
        <w:rPr>
          <w:rFonts w:hint="eastAsia" w:eastAsia="宋体"/>
          <w:sz w:val="20"/>
          <w:szCs w:val="20"/>
          <w:lang w:val="en-US" w:eastAsia="zh-CN"/>
        </w:rPr>
        <w:t>. And t</w:t>
      </w:r>
      <w:r>
        <w:rPr>
          <w:rFonts w:eastAsia="宋体"/>
          <w:sz w:val="20"/>
          <w:szCs w:val="20"/>
          <w:lang w:eastAsia="zh-CN"/>
        </w:rPr>
        <w:t xml:space="preserve">he </w:t>
      </w:r>
      <w:r>
        <w:rPr>
          <w:rFonts w:hint="eastAsia" w:eastAsia="宋体"/>
          <w:sz w:val="20"/>
          <w:szCs w:val="20"/>
          <w:lang w:val="en-US" w:eastAsia="zh-CN"/>
        </w:rPr>
        <w:t>relevant working assumptions are given as below [1]:</w:t>
      </w:r>
    </w:p>
    <w:bookmarkEnd w:id="4"/>
    <w:p>
      <w:pPr>
        <w:ind w:leftChars="100"/>
        <w:rPr>
          <w:rFonts w:ascii="Times New Roman" w:hAnsi="Times New Roman"/>
          <w:sz w:val="20"/>
          <w:szCs w:val="20"/>
        </w:rPr>
      </w:pPr>
      <w:r>
        <w:rPr>
          <w:rFonts w:ascii="Times New Roman" w:hAnsi="Times New Roman"/>
          <w:sz w:val="20"/>
          <w:szCs w:val="20"/>
        </w:rPr>
        <w:t xml:space="preserve">For the new term </w:t>
      </w:r>
      <m:oMath>
        <m:sSub>
          <m:sSubPr>
            <m:ctrlPr>
              <w:rPr>
                <w:rFonts w:ascii="Cambria Math" w:hAnsi="Cambria Math"/>
                <w:sz w:val="20"/>
                <w:szCs w:val="20"/>
              </w:rPr>
            </m:ctrlPr>
          </m:sSubPr>
          <m:e>
            <m:r>
              <m:rPr>
                <m:sty m:val="p"/>
              </m:rPr>
              <w:rPr>
                <w:rFonts w:ascii="Cambria Math" w:hAnsi="Cambria Math"/>
                <w:sz w:val="20"/>
                <w:szCs w:val="20"/>
              </w:rPr>
              <m:t>∆</m:t>
            </m:r>
            <m:ctrlPr>
              <w:rPr>
                <w:rFonts w:ascii="Cambria Math" w:hAnsi="Cambria Math"/>
                <w:sz w:val="20"/>
                <w:szCs w:val="20"/>
              </w:rPr>
            </m:ctrlPr>
          </m:e>
          <m:sub>
            <m:r>
              <w:rPr>
                <w:rFonts w:ascii="Cambria Math" w:hAnsi="Cambria Math"/>
                <w:sz w:val="20"/>
                <w:szCs w:val="20"/>
              </w:rPr>
              <m:t>TF</m:t>
            </m:r>
            <m:r>
              <m:rPr>
                <m:sty m:val="p"/>
              </m:rPr>
              <w:rPr>
                <w:rFonts w:ascii="Cambria Math" w:hAnsi="Cambria Math"/>
                <w:sz w:val="20"/>
                <w:szCs w:val="20"/>
              </w:rPr>
              <m:t>,</m:t>
            </m:r>
            <m:r>
              <w:rPr>
                <w:rFonts w:ascii="Cambria Math" w:hAnsi="Cambria Math"/>
                <w:sz w:val="20"/>
                <w:szCs w:val="20"/>
              </w:rPr>
              <m:t>c</m:t>
            </m:r>
            <m:ctrlPr>
              <w:rPr>
                <w:rFonts w:ascii="Cambria Math" w:hAnsi="Cambria Math"/>
                <w:sz w:val="20"/>
                <w:szCs w:val="20"/>
              </w:rPr>
            </m:ctrlPr>
          </m:sub>
        </m:sSub>
      </m:oMath>
      <w:r>
        <w:rPr>
          <w:rFonts w:ascii="Times New Roman" w:hAnsi="Times New Roman"/>
          <w:sz w:val="20"/>
          <w:szCs w:val="20"/>
        </w:rPr>
        <w:t xml:space="preserve"> introduced for power control of NPUSCH,</w:t>
      </w:r>
    </w:p>
    <w:p>
      <w:pPr>
        <w:numPr>
          <w:ilvl w:val="0"/>
          <w:numId w:val="5"/>
        </w:numPr>
        <w:ind w:left="720" w:leftChars="0" w:hanging="360" w:firstLineChars="0"/>
        <w:rPr>
          <w:rFonts w:ascii="Times New Roman" w:hAnsi="Times New Roman"/>
          <w:sz w:val="20"/>
          <w:szCs w:val="20"/>
        </w:rPr>
      </w:pPr>
      <w:r>
        <w:rPr>
          <w:rFonts w:ascii="Times New Roman" w:hAnsi="Times New Roman"/>
          <w:sz w:val="20"/>
          <w:szCs w:val="20"/>
        </w:rPr>
        <w:t xml:space="preserve">Reuse the LTE definition simplified for NB-IoT: </w:t>
      </w:r>
      <m:oMath>
        <m:sSub>
          <m:sSubPr>
            <m:ctrlPr>
              <w:rPr>
                <w:rFonts w:ascii="Cambria Math" w:hAnsi="Cambria Math"/>
                <w:sz w:val="20"/>
                <w:szCs w:val="20"/>
              </w:rPr>
            </m:ctrlPr>
          </m:sSubPr>
          <m:e>
            <m:r>
              <m:rPr>
                <m:sty m:val="p"/>
              </m:rPr>
              <w:rPr>
                <w:rFonts w:ascii="Cambria Math" w:hAnsi="Cambria Math"/>
                <w:sz w:val="20"/>
                <w:szCs w:val="20"/>
              </w:rPr>
              <m:t>∆</m:t>
            </m:r>
            <m:ctrlPr>
              <w:rPr>
                <w:rFonts w:ascii="Cambria Math" w:hAnsi="Cambria Math"/>
                <w:sz w:val="20"/>
                <w:szCs w:val="20"/>
              </w:rPr>
            </m:ctrlPr>
          </m:e>
          <m:sub>
            <m:r>
              <m:rPr>
                <m:sty m:val="p"/>
              </m:rPr>
              <w:rPr>
                <w:rFonts w:ascii="Cambria Math" w:hAnsi="Cambria Math"/>
                <w:sz w:val="20"/>
                <w:szCs w:val="20"/>
              </w:rPr>
              <m:t>TF,c</m:t>
            </m:r>
            <m:ctrlPr>
              <w:rPr>
                <w:rFonts w:ascii="Cambria Math" w:hAnsi="Cambria Math"/>
                <w:sz w:val="20"/>
                <w:szCs w:val="20"/>
              </w:rPr>
            </m:ctrlPr>
          </m:sub>
        </m:sSub>
        <m:d>
          <m:dPr>
            <m:ctrlPr>
              <w:rPr>
                <w:rFonts w:ascii="Cambria Math" w:hAnsi="Cambria Math"/>
                <w:sz w:val="20"/>
                <w:szCs w:val="20"/>
              </w:rPr>
            </m:ctrlPr>
          </m:dPr>
          <m:e>
            <m:r>
              <m:rPr>
                <m:sty m:val="p"/>
              </m:rPr>
              <w:rPr>
                <w:rFonts w:ascii="Cambria Math" w:hAnsi="Cambria Math"/>
                <w:sz w:val="20"/>
                <w:szCs w:val="20"/>
              </w:rPr>
              <m:t>i</m:t>
            </m:r>
            <m:ctrlPr>
              <w:rPr>
                <w:rFonts w:ascii="Cambria Math" w:hAnsi="Cambria Math"/>
                <w:sz w:val="20"/>
                <w:szCs w:val="20"/>
              </w:rPr>
            </m:ctrlPr>
          </m:e>
        </m:d>
        <m:r>
          <m:rPr>
            <m:sty m:val="p"/>
          </m:rPr>
          <w:rPr>
            <w:rFonts w:ascii="Cambria Math" w:hAnsi="Cambria Math"/>
            <w:sz w:val="20"/>
            <w:szCs w:val="20"/>
          </w:rPr>
          <m:t>=10</m:t>
        </m:r>
        <m:sSub>
          <m:sSubPr>
            <m:ctrlPr>
              <w:rPr>
                <w:rFonts w:ascii="Cambria Math" w:hAnsi="Cambria Math"/>
                <w:sz w:val="20"/>
                <w:szCs w:val="20"/>
              </w:rPr>
            </m:ctrlPr>
          </m:sSubPr>
          <m:e>
            <m:r>
              <m:rPr>
                <m:sty m:val="p"/>
              </m:rPr>
              <w:rPr>
                <w:rFonts w:ascii="Cambria Math" w:hAnsi="Cambria Math"/>
                <w:sz w:val="20"/>
                <w:szCs w:val="20"/>
              </w:rPr>
              <m:t>log</m:t>
            </m:r>
            <m:ctrlPr>
              <w:rPr>
                <w:rFonts w:ascii="Cambria Math" w:hAnsi="Cambria Math"/>
                <w:sz w:val="20"/>
                <w:szCs w:val="20"/>
              </w:rPr>
            </m:ctrlPr>
          </m:e>
          <m:sub>
            <m:r>
              <m:rPr>
                <m:sty m:val="p"/>
              </m:rPr>
              <w:rPr>
                <w:rFonts w:ascii="Cambria Math" w:hAnsi="Cambria Math"/>
                <w:sz w:val="20"/>
                <w:szCs w:val="20"/>
              </w:rPr>
              <m:t>10</m:t>
            </m:r>
            <m:ctrlPr>
              <w:rPr>
                <w:rFonts w:ascii="Cambria Math" w:hAnsi="Cambria Math"/>
                <w:sz w:val="20"/>
                <w:szCs w:val="20"/>
              </w:rPr>
            </m:ctrlPr>
          </m:sub>
        </m:sSub>
        <m:d>
          <m:dPr>
            <m:ctrlPr>
              <w:rPr>
                <w:rFonts w:ascii="Cambria Math" w:hAnsi="Cambria Math"/>
                <w:sz w:val="20"/>
                <w:szCs w:val="20"/>
              </w:rPr>
            </m:ctrlPr>
          </m:dPr>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ctrlPr>
                      <w:rPr>
                        <w:rFonts w:ascii="Cambria Math" w:hAnsi="Cambria Math"/>
                        <w:sz w:val="20"/>
                        <w:szCs w:val="20"/>
                      </w:rPr>
                    </m:ctrlPr>
                  </m:e>
                  <m:sup>
                    <m:r>
                      <m:rPr>
                        <m:sty m:val="p"/>
                      </m:rPr>
                      <w:rPr>
                        <w:rFonts w:ascii="Cambria Math" w:hAnsi="Cambria Math"/>
                        <w:sz w:val="20"/>
                        <w:szCs w:val="20"/>
                      </w:rPr>
                      <m:t>BPRE∙</m:t>
                    </m:r>
                    <m:sSub>
                      <m:sSubPr>
                        <m:ctrlPr>
                          <w:rPr>
                            <w:rFonts w:ascii="Cambria Math" w:hAnsi="Cambria Math"/>
                            <w:sz w:val="20"/>
                            <w:szCs w:val="20"/>
                          </w:rPr>
                        </m:ctrlPr>
                      </m:sSubPr>
                      <m:e>
                        <m:r>
                          <m:rPr>
                            <m:sty m:val="p"/>
                          </m:rPr>
                          <w:rPr>
                            <w:rFonts w:ascii="Cambria Math" w:hAnsi="Cambria Math"/>
                            <w:sz w:val="20"/>
                            <w:szCs w:val="20"/>
                          </w:rPr>
                          <m:t>K</m:t>
                        </m:r>
                        <m:ctrlPr>
                          <w:rPr>
                            <w:rFonts w:ascii="Cambria Math" w:hAnsi="Cambria Math"/>
                            <w:sz w:val="20"/>
                            <w:szCs w:val="20"/>
                          </w:rPr>
                        </m:ctrlPr>
                      </m:e>
                      <m:sub>
                        <m:r>
                          <m:rPr>
                            <m:sty m:val="p"/>
                          </m:rPr>
                          <w:rPr>
                            <w:rFonts w:ascii="Cambria Math" w:hAnsi="Cambria Math"/>
                            <w:sz w:val="20"/>
                            <w:szCs w:val="20"/>
                          </w:rPr>
                          <m:t>s</m:t>
                        </m:r>
                        <m:ctrlPr>
                          <w:rPr>
                            <w:rFonts w:ascii="Cambria Math" w:hAnsi="Cambria Math"/>
                            <w:sz w:val="20"/>
                            <w:szCs w:val="20"/>
                          </w:rPr>
                        </m:ctrlPr>
                      </m:sub>
                    </m:sSub>
                    <m:ctrlPr>
                      <w:rPr>
                        <w:rFonts w:ascii="Cambria Math" w:hAnsi="Cambria Math"/>
                        <w:sz w:val="20"/>
                        <w:szCs w:val="20"/>
                      </w:rPr>
                    </m:ctrlPr>
                  </m:sup>
                </m:sSup>
                <m:r>
                  <m:rPr>
                    <m:sty m:val="p"/>
                  </m:rPr>
                  <w:rPr>
                    <w:rFonts w:ascii="Cambria Math" w:hAnsi="Cambria Math"/>
                    <w:sz w:val="20"/>
                    <w:szCs w:val="20"/>
                  </w:rPr>
                  <m:t>-1</m:t>
                </m:r>
                <m:ctrlPr>
                  <w:rPr>
                    <w:rFonts w:ascii="Cambria Math" w:hAnsi="Cambria Math"/>
                    <w:sz w:val="20"/>
                    <w:szCs w:val="20"/>
                  </w:rPr>
                </m:ctrlPr>
              </m:e>
            </m:d>
            <m:ctrlPr>
              <w:rPr>
                <w:rFonts w:ascii="Cambria Math" w:hAnsi="Cambria Math"/>
                <w:sz w:val="20"/>
                <w:szCs w:val="20"/>
              </w:rPr>
            </m:ctrlPr>
          </m:e>
        </m:d>
      </m:oMath>
      <w:r>
        <w:rPr>
          <w:rFonts w:ascii="Times New Roman" w:hAnsi="Times New Roman"/>
          <w:sz w:val="20"/>
          <w:szCs w:val="20"/>
        </w:rPr>
        <w:t xml:space="preserve"> for </w:t>
      </w:r>
      <m:oMath>
        <m:sSub>
          <m:sSubPr>
            <m:ctrlPr>
              <w:rPr>
                <w:rFonts w:ascii="Cambria Math" w:hAnsi="Cambria Math"/>
                <w:sz w:val="20"/>
                <w:szCs w:val="20"/>
              </w:rPr>
            </m:ctrlPr>
          </m:sSubPr>
          <m:e>
            <m:r>
              <m:rPr>
                <m:sty m:val="p"/>
              </m:rPr>
              <w:rPr>
                <w:rFonts w:ascii="Cambria Math" w:hAnsi="Cambria Math"/>
                <w:sz w:val="20"/>
                <w:szCs w:val="20"/>
              </w:rPr>
              <m:t>K</m:t>
            </m:r>
            <m:ctrlPr>
              <w:rPr>
                <w:rFonts w:ascii="Cambria Math" w:hAnsi="Cambria Math"/>
                <w:sz w:val="20"/>
                <w:szCs w:val="20"/>
              </w:rPr>
            </m:ctrlPr>
          </m:e>
          <m:sub>
            <m:r>
              <m:rPr>
                <m:sty m:val="p"/>
              </m:rPr>
              <w:rPr>
                <w:rFonts w:ascii="Cambria Math" w:hAnsi="Cambria Math"/>
                <w:sz w:val="20"/>
                <w:szCs w:val="20"/>
              </w:rPr>
              <m:t>s</m:t>
            </m:r>
            <m:ctrlPr>
              <w:rPr>
                <w:rFonts w:ascii="Cambria Math" w:hAnsi="Cambria Math"/>
                <w:sz w:val="20"/>
                <w:szCs w:val="20"/>
              </w:rPr>
            </m:ctrlPr>
          </m:sub>
        </m:sSub>
        <m:r>
          <m:rPr>
            <m:sty m:val="p"/>
          </m:rPr>
          <w:rPr>
            <w:rFonts w:ascii="Cambria Math" w:hAnsi="Cambria Math"/>
            <w:sz w:val="20"/>
            <w:szCs w:val="20"/>
          </w:rPr>
          <m:t>=1.25</m:t>
        </m:r>
      </m:oMath>
      <w:r>
        <w:rPr>
          <w:rFonts w:ascii="Times New Roman" w:hAnsi="Times New Roman"/>
          <w:sz w:val="20"/>
          <w:szCs w:val="20"/>
        </w:rPr>
        <w:t xml:space="preserve"> and </w:t>
      </w:r>
      <m:oMath>
        <m:sSub>
          <m:sSubPr>
            <m:ctrlPr>
              <w:rPr>
                <w:rFonts w:ascii="Cambria Math" w:hAnsi="Cambria Math"/>
                <w:sz w:val="20"/>
                <w:szCs w:val="20"/>
              </w:rPr>
            </m:ctrlPr>
          </m:sSubPr>
          <m:e>
            <m:r>
              <m:rPr>
                <m:sty m:val="p"/>
              </m:rPr>
              <w:rPr>
                <w:rFonts w:ascii="Cambria Math" w:hAnsi="Cambria Math"/>
                <w:sz w:val="20"/>
                <w:szCs w:val="20"/>
              </w:rPr>
              <m:t>∆</m:t>
            </m:r>
            <m:ctrlPr>
              <w:rPr>
                <w:rFonts w:ascii="Cambria Math" w:hAnsi="Cambria Math"/>
                <w:sz w:val="20"/>
                <w:szCs w:val="20"/>
              </w:rPr>
            </m:ctrlPr>
          </m:e>
          <m:sub>
            <m:r>
              <m:rPr>
                <m:sty m:val="p"/>
              </m:rPr>
              <w:rPr>
                <w:rFonts w:ascii="Cambria Math" w:hAnsi="Cambria Math"/>
                <w:sz w:val="20"/>
                <w:szCs w:val="20"/>
              </w:rPr>
              <m:t>TF,c</m:t>
            </m:r>
            <m:ctrlPr>
              <w:rPr>
                <w:rFonts w:ascii="Cambria Math" w:hAnsi="Cambria Math"/>
                <w:sz w:val="20"/>
                <w:szCs w:val="20"/>
              </w:rPr>
            </m:ctrlPr>
          </m:sub>
        </m:sSub>
        <m:d>
          <m:dPr>
            <m:ctrlPr>
              <w:rPr>
                <w:rFonts w:ascii="Cambria Math" w:hAnsi="Cambria Math"/>
                <w:sz w:val="20"/>
                <w:szCs w:val="20"/>
              </w:rPr>
            </m:ctrlPr>
          </m:dPr>
          <m:e>
            <m:r>
              <m:rPr>
                <m:sty m:val="p"/>
              </m:rPr>
              <w:rPr>
                <w:rFonts w:ascii="Cambria Math" w:hAnsi="Cambria Math"/>
                <w:sz w:val="20"/>
                <w:szCs w:val="20"/>
              </w:rPr>
              <m:t>i</m:t>
            </m:r>
            <m:ctrlPr>
              <w:rPr>
                <w:rFonts w:ascii="Cambria Math" w:hAnsi="Cambria Math"/>
                <w:sz w:val="20"/>
                <w:szCs w:val="20"/>
              </w:rPr>
            </m:ctrlPr>
          </m:e>
        </m:d>
        <m:r>
          <m:rPr>
            <m:sty m:val="p"/>
          </m:rPr>
          <w:rPr>
            <w:rFonts w:ascii="Cambria Math" w:hAnsi="Cambria Math"/>
            <w:sz w:val="20"/>
            <w:szCs w:val="20"/>
          </w:rPr>
          <m:t>=0</m:t>
        </m:r>
      </m:oMath>
      <w:r>
        <w:rPr>
          <w:rFonts w:ascii="Times New Roman" w:hAnsi="Times New Roman"/>
          <w:sz w:val="20"/>
          <w:szCs w:val="20"/>
        </w:rPr>
        <w:t xml:space="preserve"> for </w:t>
      </w:r>
      <m:oMath>
        <m:sSub>
          <m:sSubPr>
            <m:ctrlPr>
              <w:rPr>
                <w:rFonts w:ascii="Cambria Math" w:hAnsi="Cambria Math"/>
                <w:sz w:val="20"/>
                <w:szCs w:val="20"/>
              </w:rPr>
            </m:ctrlPr>
          </m:sSubPr>
          <m:e>
            <m:r>
              <m:rPr>
                <m:sty m:val="p"/>
              </m:rPr>
              <w:rPr>
                <w:rFonts w:ascii="Cambria Math" w:hAnsi="Cambria Math"/>
                <w:sz w:val="20"/>
                <w:szCs w:val="20"/>
              </w:rPr>
              <m:t>K</m:t>
            </m:r>
            <m:ctrlPr>
              <w:rPr>
                <w:rFonts w:ascii="Cambria Math" w:hAnsi="Cambria Math"/>
                <w:sz w:val="20"/>
                <w:szCs w:val="20"/>
              </w:rPr>
            </m:ctrlPr>
          </m:e>
          <m:sub>
            <m:r>
              <m:rPr>
                <m:sty m:val="p"/>
              </m:rPr>
              <w:rPr>
                <w:rFonts w:ascii="Cambria Math" w:hAnsi="Cambria Math"/>
                <w:sz w:val="20"/>
                <w:szCs w:val="20"/>
              </w:rPr>
              <m:t>s</m:t>
            </m:r>
            <m:ctrlPr>
              <w:rPr>
                <w:rFonts w:ascii="Cambria Math" w:hAnsi="Cambria Math"/>
                <w:sz w:val="20"/>
                <w:szCs w:val="20"/>
              </w:rPr>
            </m:ctrlPr>
          </m:sub>
        </m:sSub>
        <m:r>
          <m:rPr>
            <m:sty m:val="p"/>
          </m:rPr>
          <w:rPr>
            <w:rFonts w:ascii="Cambria Math" w:hAnsi="Cambria Math"/>
            <w:sz w:val="20"/>
            <w:szCs w:val="20"/>
          </w:rPr>
          <m:t>=0</m:t>
        </m:r>
      </m:oMath>
      <w:r>
        <w:rPr>
          <w:rFonts w:ascii="Times New Roman" w:hAnsi="Times New Roman"/>
          <w:sz w:val="20"/>
          <w:szCs w:val="20"/>
        </w:rPr>
        <w:t xml:space="preserve">, where </w:t>
      </w:r>
      <m:oMath>
        <m:sSub>
          <m:sSubPr>
            <m:ctrlPr>
              <w:rPr>
                <w:rFonts w:ascii="Cambria Math" w:hAnsi="Cambria Math"/>
                <w:sz w:val="20"/>
                <w:szCs w:val="20"/>
              </w:rPr>
            </m:ctrlPr>
          </m:sSubPr>
          <m:e>
            <m:r>
              <m:rPr>
                <m:sty m:val="p"/>
              </m:rPr>
              <w:rPr>
                <w:rFonts w:ascii="Cambria Math" w:hAnsi="Cambria Math"/>
                <w:sz w:val="20"/>
                <w:szCs w:val="20"/>
              </w:rPr>
              <m:t>K</m:t>
            </m:r>
            <m:ctrlPr>
              <w:rPr>
                <w:rFonts w:ascii="Cambria Math" w:hAnsi="Cambria Math"/>
                <w:sz w:val="20"/>
                <w:szCs w:val="20"/>
              </w:rPr>
            </m:ctrlPr>
          </m:e>
          <m:sub>
            <m:r>
              <m:rPr>
                <m:sty m:val="p"/>
              </m:rPr>
              <w:rPr>
                <w:rFonts w:ascii="Cambria Math" w:hAnsi="Cambria Math"/>
                <w:sz w:val="20"/>
                <w:szCs w:val="20"/>
              </w:rPr>
              <m:t>s</m:t>
            </m:r>
            <m:ctrlPr>
              <w:rPr>
                <w:rFonts w:ascii="Cambria Math" w:hAnsi="Cambria Math"/>
                <w:sz w:val="20"/>
                <w:szCs w:val="20"/>
              </w:rPr>
            </m:ctrlPr>
          </m:sub>
        </m:sSub>
      </m:oMath>
      <w:r>
        <w:rPr>
          <w:rFonts w:ascii="Times New Roman" w:hAnsi="Times New Roman"/>
          <w:sz w:val="20"/>
          <w:szCs w:val="20"/>
        </w:rPr>
        <w:t xml:space="preserve"> is given by higher layer parameter </w:t>
      </w:r>
      <w:r>
        <w:rPr>
          <w:rFonts w:ascii="Times New Roman" w:hAnsi="Times New Roman"/>
          <w:i/>
          <w:iCs/>
          <w:sz w:val="20"/>
          <w:szCs w:val="20"/>
        </w:rPr>
        <w:t>deltaMCS-Enabled</w:t>
      </w:r>
      <w:r>
        <w:rPr>
          <w:rFonts w:ascii="Times New Roman" w:hAnsi="Times New Roman"/>
          <w:sz w:val="20"/>
          <w:szCs w:val="20"/>
        </w:rPr>
        <w:t xml:space="preserve">, and </w:t>
      </w:r>
      <m:oMath>
        <m:r>
          <m:rPr>
            <m:sty m:val="p"/>
          </m:rPr>
          <w:rPr>
            <w:rFonts w:ascii="Cambria Math" w:hAnsi="Cambria Math"/>
            <w:sz w:val="20"/>
            <w:szCs w:val="20"/>
          </w:rPr>
          <m:t>BPRE=</m:t>
        </m:r>
        <m:f>
          <m:fPr>
            <m:ctrlPr>
              <w:rPr>
                <w:rFonts w:ascii="Cambria Math" w:hAnsi="Cambria Math"/>
                <w:sz w:val="20"/>
                <w:szCs w:val="20"/>
              </w:rPr>
            </m:ctrlPr>
          </m:fPr>
          <m:num>
            <m:r>
              <m:rPr>
                <m:sty m:val="p"/>
              </m:rPr>
              <w:rPr>
                <w:rFonts w:ascii="Cambria Math" w:hAnsi="Cambria Math"/>
                <w:sz w:val="20"/>
                <w:szCs w:val="20"/>
              </w:rPr>
              <m:t>K</m:t>
            </m:r>
            <m:ctrlPr>
              <w:rPr>
                <w:rFonts w:ascii="Cambria Math" w:hAnsi="Cambria Math"/>
                <w:sz w:val="20"/>
                <w:szCs w:val="20"/>
              </w:rPr>
            </m:ctrlPr>
          </m:num>
          <m:den>
            <m:sSub>
              <m:sSubPr>
                <m:ctrlPr>
                  <w:rPr>
                    <w:rFonts w:ascii="Cambria Math" w:hAnsi="Cambria Math"/>
                    <w:sz w:val="20"/>
                    <w:szCs w:val="20"/>
                  </w:rPr>
                </m:ctrlPr>
              </m:sSubPr>
              <m:e>
                <m:r>
                  <m:rPr>
                    <m:sty m:val="p"/>
                  </m:rPr>
                  <w:rPr>
                    <w:rFonts w:ascii="Cambria Math" w:hAnsi="Cambria Math"/>
                    <w:sz w:val="20"/>
                    <w:szCs w:val="20"/>
                  </w:rPr>
                  <m:t>N</m:t>
                </m:r>
                <m:ctrlPr>
                  <w:rPr>
                    <w:rFonts w:ascii="Cambria Math" w:hAnsi="Cambria Math"/>
                    <w:sz w:val="20"/>
                    <w:szCs w:val="20"/>
                  </w:rPr>
                </m:ctrlPr>
              </m:e>
              <m:sub>
                <m:r>
                  <m:rPr>
                    <m:sty m:val="p"/>
                  </m:rPr>
                  <w:rPr>
                    <w:rFonts w:ascii="Cambria Math" w:hAnsi="Cambria Math"/>
                    <w:sz w:val="20"/>
                    <w:szCs w:val="20"/>
                  </w:rPr>
                  <m:t>RE</m:t>
                </m:r>
                <m:ctrlPr>
                  <w:rPr>
                    <w:rFonts w:ascii="Cambria Math" w:hAnsi="Cambria Math"/>
                    <w:sz w:val="20"/>
                    <w:szCs w:val="20"/>
                  </w:rPr>
                </m:ctrlPr>
              </m:sub>
            </m:sSub>
            <m:ctrlPr>
              <w:rPr>
                <w:rFonts w:ascii="Cambria Math" w:hAnsi="Cambria Math"/>
                <w:sz w:val="20"/>
                <w:szCs w:val="20"/>
              </w:rPr>
            </m:ctrlPr>
          </m:den>
        </m:f>
      </m:oMath>
      <w:r>
        <w:rPr>
          <w:rFonts w:ascii="Times New Roman" w:hAnsi="Times New Roman"/>
          <w:sz w:val="20"/>
          <w:szCs w:val="20"/>
        </w:rPr>
        <w:t xml:space="preserve"> where K is the code block size.</w:t>
      </w:r>
    </w:p>
    <w:p>
      <w:pPr>
        <w:numPr>
          <w:ilvl w:val="0"/>
          <w:numId w:val="5"/>
        </w:numPr>
        <w:ind w:left="720" w:leftChars="0" w:hanging="360" w:firstLineChars="0"/>
        <w:rPr>
          <w:rFonts w:hint="default"/>
          <w:sz w:val="20"/>
          <w:szCs w:val="20"/>
          <w:lang w:val="en-US" w:eastAsia="zh-CN"/>
        </w:rPr>
      </w:pPr>
      <w:r>
        <w:rPr>
          <w:rFonts w:ascii="Times New Roman" w:hAnsi="Times New Roman"/>
          <w:sz w:val="20"/>
          <w:szCs w:val="20"/>
          <w:lang w:eastAsia="zh-CN"/>
        </w:rPr>
        <w:t xml:space="preserve">FFS: whether the new term applies to QPSK when configured with 16QAM, if it does not, whether an additional term is introduced to avoid jump between QPSK and 16QAM </w:t>
      </w:r>
    </w:p>
    <w:p>
      <w:pPr>
        <w:rPr>
          <w:sz w:val="20"/>
          <w:szCs w:val="20"/>
          <w:lang w:eastAsia="zh-CN"/>
        </w:rPr>
      </w:pPr>
      <w:r>
        <w:rPr>
          <w:rFonts w:hint="eastAsia"/>
          <w:sz w:val="20"/>
          <w:szCs w:val="20"/>
          <w:lang w:eastAsia="zh-CN"/>
        </w:rPr>
        <w:t xml:space="preserve">In this contribution, </w:t>
      </w:r>
      <w:r>
        <w:rPr>
          <w:sz w:val="20"/>
          <w:szCs w:val="20"/>
          <w:lang w:eastAsia="zh-CN"/>
        </w:rPr>
        <w:t xml:space="preserve">we discuss </w:t>
      </w:r>
      <w:r>
        <w:rPr>
          <w:rFonts w:hint="eastAsia"/>
          <w:sz w:val="20"/>
          <w:szCs w:val="20"/>
          <w:lang w:val="en-US" w:eastAsia="zh-CN"/>
        </w:rPr>
        <w:t xml:space="preserve">the </w:t>
      </w:r>
      <w:r>
        <w:rPr>
          <w:sz w:val="20"/>
          <w:szCs w:val="20"/>
          <w:lang w:eastAsia="zh-CN"/>
        </w:rPr>
        <w:t xml:space="preserve">remaining issues </w:t>
      </w:r>
      <w:r>
        <w:rPr>
          <w:rFonts w:hint="eastAsia"/>
          <w:sz w:val="20"/>
          <w:szCs w:val="20"/>
          <w:lang w:eastAsia="zh-CN"/>
        </w:rPr>
        <w:t>on</w:t>
      </w:r>
      <w:r>
        <w:rPr>
          <w:sz w:val="20"/>
          <w:szCs w:val="20"/>
          <w:lang w:eastAsia="zh-CN"/>
        </w:rPr>
        <w:t xml:space="preserve"> 16QAM for NB-IoT.</w:t>
      </w:r>
    </w:p>
    <w:p>
      <w:pPr>
        <w:pStyle w:val="2"/>
        <w:keepLines/>
        <w:pageBreakBefore w:val="0"/>
        <w:widowControl/>
        <w:numPr>
          <w:ilvl w:val="0"/>
          <w:numId w:val="4"/>
        </w:numPr>
        <w:pBdr>
          <w:top w:val="single" w:color="auto" w:sz="12" w:space="3"/>
        </w:pBdr>
        <w:kinsoku/>
        <w:wordWrap/>
        <w:overflowPunct/>
        <w:topLinePunct w:val="0"/>
        <w:autoSpaceDE/>
        <w:autoSpaceDN/>
        <w:bidi w:val="0"/>
        <w:adjustRightInd/>
        <w:snapToGrid/>
        <w:spacing w:after="180" w:line="276" w:lineRule="auto"/>
        <w:jc w:val="left"/>
        <w:textAlignment w:val="auto"/>
        <w:rPr>
          <w:rFonts w:cs="Arial"/>
          <w:lang w:eastAsia="zh-CN"/>
        </w:rPr>
      </w:pPr>
      <w:bookmarkStart w:id="5" w:name="OLE_LINK38"/>
      <w:bookmarkStart w:id="6" w:name="OLE_LINK94"/>
      <w:bookmarkStart w:id="7" w:name="OLE_LINK14"/>
      <w:bookmarkStart w:id="8" w:name="OLE_LINK50"/>
      <w:bookmarkStart w:id="9" w:name="OLE_LINK2"/>
      <w:bookmarkStart w:id="10" w:name="OLE_LINK1"/>
      <w:bookmarkStart w:id="11" w:name="OLE_LINK37"/>
      <w:bookmarkStart w:id="12" w:name="OLE_LINK95"/>
      <w:bookmarkStart w:id="13" w:name="OLE_LINK13"/>
      <w:r>
        <w:rPr>
          <w:rFonts w:hint="eastAsia" w:cs="Arial"/>
          <w:lang w:val="en-US" w:eastAsia="zh-CN"/>
        </w:rPr>
        <w:t>Discussion</w:t>
      </w:r>
    </w:p>
    <w:p>
      <w:pPr>
        <w:pageBreakBefore w:val="0"/>
        <w:widowControl/>
        <w:kinsoku/>
        <w:wordWrap/>
        <w:overflowPunct/>
        <w:topLinePunct w:val="0"/>
        <w:bidi w:val="0"/>
        <w:spacing w:line="276" w:lineRule="auto"/>
        <w:textAlignment w:val="auto"/>
        <w:rPr>
          <w:rFonts w:hint="eastAsia"/>
          <w:b/>
          <w:bCs/>
          <w:sz w:val="20"/>
          <w:szCs w:val="20"/>
          <w:u w:val="single"/>
          <w:lang w:val="en-US" w:eastAsia="zh-CN"/>
        </w:rPr>
      </w:pPr>
      <w:r>
        <w:rPr>
          <w:rFonts w:hint="eastAsia"/>
          <w:b/>
          <w:bCs/>
          <w:sz w:val="20"/>
          <w:szCs w:val="20"/>
          <w:u w:val="single"/>
          <w:lang w:val="en-US" w:eastAsia="zh-CN"/>
        </w:rPr>
        <w:t>UL power control</w:t>
      </w:r>
    </w:p>
    <w:p>
      <w:pPr>
        <w:keepNext w:val="0"/>
        <w:keepLines w:val="0"/>
        <w:pageBreakBefore w:val="0"/>
        <w:widowControl/>
        <w:kinsoku/>
        <w:wordWrap/>
        <w:overflowPunct/>
        <w:topLinePunct w:val="0"/>
        <w:autoSpaceDE w:val="0"/>
        <w:autoSpaceDN w:val="0"/>
        <w:bidi w:val="0"/>
        <w:adjustRightInd w:val="0"/>
        <w:snapToGrid w:val="0"/>
        <w:spacing w:line="240" w:lineRule="auto"/>
        <w:textAlignment w:val="auto"/>
        <w:rPr>
          <w:rFonts w:hint="eastAsia"/>
          <w:sz w:val="20"/>
          <w:szCs w:val="20"/>
          <w:lang w:val="en-US" w:eastAsia="zh-CN"/>
        </w:rPr>
      </w:pPr>
      <w:r>
        <w:rPr>
          <w:rFonts w:ascii="Times New Roman" w:hAnsi="Times New Roman"/>
          <w:sz w:val="20"/>
          <w:szCs w:val="20"/>
        </w:rPr>
        <w:t xml:space="preserve">For the new term </w:t>
      </w:r>
      <m:oMath>
        <m:sSub>
          <m:sSubPr>
            <m:ctrlPr>
              <w:rPr>
                <w:rFonts w:ascii="Cambria Math" w:hAnsi="Cambria Math"/>
                <w:sz w:val="20"/>
                <w:szCs w:val="20"/>
              </w:rPr>
            </m:ctrlPr>
          </m:sSubPr>
          <m:e>
            <m:r>
              <m:rPr>
                <m:sty m:val="p"/>
              </m:rPr>
              <w:rPr>
                <w:rFonts w:ascii="Cambria Math" w:hAnsi="Cambria Math"/>
                <w:sz w:val="20"/>
                <w:szCs w:val="20"/>
              </w:rPr>
              <m:t>∆</m:t>
            </m:r>
            <m:ctrlPr>
              <w:rPr>
                <w:rFonts w:ascii="Cambria Math" w:hAnsi="Cambria Math"/>
                <w:sz w:val="20"/>
                <w:szCs w:val="20"/>
              </w:rPr>
            </m:ctrlPr>
          </m:e>
          <m:sub>
            <m:r>
              <w:rPr>
                <w:rFonts w:ascii="Cambria Math" w:hAnsi="Cambria Math"/>
                <w:sz w:val="20"/>
                <w:szCs w:val="20"/>
              </w:rPr>
              <m:t>TF</m:t>
            </m:r>
            <m:r>
              <m:rPr>
                <m:sty m:val="p"/>
              </m:rPr>
              <w:rPr>
                <w:rFonts w:ascii="Cambria Math" w:hAnsi="Cambria Math"/>
                <w:sz w:val="20"/>
                <w:szCs w:val="20"/>
              </w:rPr>
              <m:t>,</m:t>
            </m:r>
            <m:r>
              <w:rPr>
                <w:rFonts w:ascii="Cambria Math" w:hAnsi="Cambria Math"/>
                <w:sz w:val="20"/>
                <w:szCs w:val="20"/>
              </w:rPr>
              <m:t>c</m:t>
            </m:r>
            <m:ctrlPr>
              <w:rPr>
                <w:rFonts w:ascii="Cambria Math" w:hAnsi="Cambria Math"/>
                <w:sz w:val="20"/>
                <w:szCs w:val="20"/>
              </w:rPr>
            </m:ctrlPr>
          </m:sub>
        </m:sSub>
      </m:oMath>
      <w:r>
        <w:rPr>
          <w:rFonts w:ascii="Times New Roman" w:hAnsi="Times New Roman"/>
          <w:sz w:val="20"/>
          <w:szCs w:val="20"/>
        </w:rPr>
        <w:t xml:space="preserve"> introduced for power control of NPUSCH,</w:t>
      </w:r>
      <w:r>
        <w:rPr>
          <w:rFonts w:hint="eastAsia"/>
          <w:sz w:val="20"/>
          <w:szCs w:val="20"/>
          <w:lang w:val="en-US" w:eastAsia="zh-CN"/>
        </w:rPr>
        <w:t xml:space="preserve"> the following working assumption can be confirmed.</w:t>
      </w:r>
    </w:p>
    <w:p>
      <w:pPr>
        <w:keepNext w:val="0"/>
        <w:keepLines w:val="0"/>
        <w:pageBreakBefore w:val="0"/>
        <w:widowControl/>
        <w:numPr>
          <w:ilvl w:val="0"/>
          <w:numId w:val="5"/>
        </w:numPr>
        <w:kinsoku/>
        <w:wordWrap/>
        <w:overflowPunct/>
        <w:topLinePunct w:val="0"/>
        <w:autoSpaceDE w:val="0"/>
        <w:autoSpaceDN w:val="0"/>
        <w:bidi w:val="0"/>
        <w:adjustRightInd w:val="0"/>
        <w:snapToGrid w:val="0"/>
        <w:spacing w:line="240" w:lineRule="auto"/>
        <w:ind w:left="720" w:leftChars="0" w:hanging="360" w:firstLineChars="0"/>
        <w:textAlignment w:val="auto"/>
        <w:rPr>
          <w:rFonts w:ascii="Times New Roman" w:hAnsi="Times New Roman"/>
          <w:sz w:val="20"/>
          <w:szCs w:val="20"/>
        </w:rPr>
      </w:pPr>
      <w:r>
        <w:rPr>
          <w:rFonts w:ascii="Times New Roman" w:hAnsi="Times New Roman"/>
          <w:sz w:val="20"/>
          <w:szCs w:val="20"/>
        </w:rPr>
        <w:t xml:space="preserve">Reuse the LTE definition simplified for NB-IoT: </w:t>
      </w:r>
      <m:oMath>
        <m:sSub>
          <m:sSubPr>
            <m:ctrlPr>
              <w:rPr>
                <w:rFonts w:ascii="Cambria Math" w:hAnsi="Cambria Math"/>
                <w:sz w:val="20"/>
                <w:szCs w:val="20"/>
              </w:rPr>
            </m:ctrlPr>
          </m:sSubPr>
          <m:e>
            <m:r>
              <m:rPr>
                <m:sty m:val="p"/>
              </m:rPr>
              <w:rPr>
                <w:rFonts w:ascii="Cambria Math" w:hAnsi="Cambria Math"/>
                <w:sz w:val="20"/>
                <w:szCs w:val="20"/>
              </w:rPr>
              <m:t>∆</m:t>
            </m:r>
            <m:ctrlPr>
              <w:rPr>
                <w:rFonts w:ascii="Cambria Math" w:hAnsi="Cambria Math"/>
                <w:sz w:val="20"/>
                <w:szCs w:val="20"/>
              </w:rPr>
            </m:ctrlPr>
          </m:e>
          <m:sub>
            <m:r>
              <m:rPr>
                <m:sty m:val="p"/>
              </m:rPr>
              <w:rPr>
                <w:rFonts w:ascii="Cambria Math" w:hAnsi="Cambria Math"/>
                <w:sz w:val="20"/>
                <w:szCs w:val="20"/>
              </w:rPr>
              <m:t>TF,c</m:t>
            </m:r>
            <m:ctrlPr>
              <w:rPr>
                <w:rFonts w:ascii="Cambria Math" w:hAnsi="Cambria Math"/>
                <w:sz w:val="20"/>
                <w:szCs w:val="20"/>
              </w:rPr>
            </m:ctrlPr>
          </m:sub>
        </m:sSub>
        <m:d>
          <m:dPr>
            <m:ctrlPr>
              <w:rPr>
                <w:rFonts w:ascii="Cambria Math" w:hAnsi="Cambria Math"/>
                <w:sz w:val="20"/>
                <w:szCs w:val="20"/>
              </w:rPr>
            </m:ctrlPr>
          </m:dPr>
          <m:e>
            <m:r>
              <m:rPr>
                <m:sty m:val="p"/>
              </m:rPr>
              <w:rPr>
                <w:rFonts w:ascii="Cambria Math" w:hAnsi="Cambria Math"/>
                <w:sz w:val="20"/>
                <w:szCs w:val="20"/>
              </w:rPr>
              <m:t>i</m:t>
            </m:r>
            <m:ctrlPr>
              <w:rPr>
                <w:rFonts w:ascii="Cambria Math" w:hAnsi="Cambria Math"/>
                <w:sz w:val="20"/>
                <w:szCs w:val="20"/>
              </w:rPr>
            </m:ctrlPr>
          </m:e>
        </m:d>
        <m:r>
          <m:rPr>
            <m:sty m:val="p"/>
          </m:rPr>
          <w:rPr>
            <w:rFonts w:ascii="Cambria Math" w:hAnsi="Cambria Math"/>
            <w:sz w:val="20"/>
            <w:szCs w:val="20"/>
          </w:rPr>
          <m:t>=10</m:t>
        </m:r>
        <m:sSub>
          <m:sSubPr>
            <m:ctrlPr>
              <w:rPr>
                <w:rFonts w:ascii="Cambria Math" w:hAnsi="Cambria Math"/>
                <w:sz w:val="20"/>
                <w:szCs w:val="20"/>
              </w:rPr>
            </m:ctrlPr>
          </m:sSubPr>
          <m:e>
            <m:r>
              <m:rPr>
                <m:sty m:val="p"/>
              </m:rPr>
              <w:rPr>
                <w:rFonts w:ascii="Cambria Math" w:hAnsi="Cambria Math"/>
                <w:sz w:val="20"/>
                <w:szCs w:val="20"/>
              </w:rPr>
              <m:t>log</m:t>
            </m:r>
            <m:ctrlPr>
              <w:rPr>
                <w:rFonts w:ascii="Cambria Math" w:hAnsi="Cambria Math"/>
                <w:sz w:val="20"/>
                <w:szCs w:val="20"/>
              </w:rPr>
            </m:ctrlPr>
          </m:e>
          <m:sub>
            <m:r>
              <m:rPr>
                <m:sty m:val="p"/>
              </m:rPr>
              <w:rPr>
                <w:rFonts w:ascii="Cambria Math" w:hAnsi="Cambria Math"/>
                <w:sz w:val="20"/>
                <w:szCs w:val="20"/>
              </w:rPr>
              <m:t>10</m:t>
            </m:r>
            <m:ctrlPr>
              <w:rPr>
                <w:rFonts w:ascii="Cambria Math" w:hAnsi="Cambria Math"/>
                <w:sz w:val="20"/>
                <w:szCs w:val="20"/>
              </w:rPr>
            </m:ctrlPr>
          </m:sub>
        </m:sSub>
        <m:d>
          <m:dPr>
            <m:ctrlPr>
              <w:rPr>
                <w:rFonts w:ascii="Cambria Math" w:hAnsi="Cambria Math"/>
                <w:sz w:val="20"/>
                <w:szCs w:val="20"/>
              </w:rPr>
            </m:ctrlPr>
          </m:dPr>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ctrlPr>
                      <w:rPr>
                        <w:rFonts w:ascii="Cambria Math" w:hAnsi="Cambria Math"/>
                        <w:sz w:val="20"/>
                        <w:szCs w:val="20"/>
                      </w:rPr>
                    </m:ctrlPr>
                  </m:e>
                  <m:sup>
                    <m:r>
                      <m:rPr>
                        <m:sty m:val="p"/>
                      </m:rPr>
                      <w:rPr>
                        <w:rFonts w:ascii="Cambria Math" w:hAnsi="Cambria Math"/>
                        <w:sz w:val="20"/>
                        <w:szCs w:val="20"/>
                      </w:rPr>
                      <m:t>BPRE∙</m:t>
                    </m:r>
                    <m:sSub>
                      <m:sSubPr>
                        <m:ctrlPr>
                          <w:rPr>
                            <w:rFonts w:ascii="Cambria Math" w:hAnsi="Cambria Math"/>
                            <w:sz w:val="20"/>
                            <w:szCs w:val="20"/>
                          </w:rPr>
                        </m:ctrlPr>
                      </m:sSubPr>
                      <m:e>
                        <m:r>
                          <m:rPr>
                            <m:sty m:val="p"/>
                          </m:rPr>
                          <w:rPr>
                            <w:rFonts w:ascii="Cambria Math" w:hAnsi="Cambria Math"/>
                            <w:sz w:val="20"/>
                            <w:szCs w:val="20"/>
                          </w:rPr>
                          <m:t>K</m:t>
                        </m:r>
                        <m:ctrlPr>
                          <w:rPr>
                            <w:rFonts w:ascii="Cambria Math" w:hAnsi="Cambria Math"/>
                            <w:sz w:val="20"/>
                            <w:szCs w:val="20"/>
                          </w:rPr>
                        </m:ctrlPr>
                      </m:e>
                      <m:sub>
                        <m:r>
                          <m:rPr>
                            <m:sty m:val="p"/>
                          </m:rPr>
                          <w:rPr>
                            <w:rFonts w:ascii="Cambria Math" w:hAnsi="Cambria Math"/>
                            <w:sz w:val="20"/>
                            <w:szCs w:val="20"/>
                          </w:rPr>
                          <m:t>s</m:t>
                        </m:r>
                        <m:ctrlPr>
                          <w:rPr>
                            <w:rFonts w:ascii="Cambria Math" w:hAnsi="Cambria Math"/>
                            <w:sz w:val="20"/>
                            <w:szCs w:val="20"/>
                          </w:rPr>
                        </m:ctrlPr>
                      </m:sub>
                    </m:sSub>
                    <m:ctrlPr>
                      <w:rPr>
                        <w:rFonts w:ascii="Cambria Math" w:hAnsi="Cambria Math"/>
                        <w:sz w:val="20"/>
                        <w:szCs w:val="20"/>
                      </w:rPr>
                    </m:ctrlPr>
                  </m:sup>
                </m:sSup>
                <m:r>
                  <m:rPr>
                    <m:sty m:val="p"/>
                  </m:rPr>
                  <w:rPr>
                    <w:rFonts w:ascii="Cambria Math" w:hAnsi="Cambria Math"/>
                    <w:sz w:val="20"/>
                    <w:szCs w:val="20"/>
                  </w:rPr>
                  <m:t>-1</m:t>
                </m:r>
                <m:ctrlPr>
                  <w:rPr>
                    <w:rFonts w:ascii="Cambria Math" w:hAnsi="Cambria Math"/>
                    <w:sz w:val="20"/>
                    <w:szCs w:val="20"/>
                  </w:rPr>
                </m:ctrlPr>
              </m:e>
            </m:d>
            <m:ctrlPr>
              <w:rPr>
                <w:rFonts w:ascii="Cambria Math" w:hAnsi="Cambria Math"/>
                <w:sz w:val="20"/>
                <w:szCs w:val="20"/>
              </w:rPr>
            </m:ctrlPr>
          </m:e>
        </m:d>
      </m:oMath>
      <w:r>
        <w:rPr>
          <w:rFonts w:ascii="Times New Roman" w:hAnsi="Times New Roman"/>
          <w:sz w:val="20"/>
          <w:szCs w:val="20"/>
        </w:rPr>
        <w:t xml:space="preserve"> for </w:t>
      </w:r>
      <m:oMath>
        <m:sSub>
          <m:sSubPr>
            <m:ctrlPr>
              <w:rPr>
                <w:rFonts w:ascii="Cambria Math" w:hAnsi="Cambria Math"/>
                <w:sz w:val="20"/>
                <w:szCs w:val="20"/>
              </w:rPr>
            </m:ctrlPr>
          </m:sSubPr>
          <m:e>
            <m:r>
              <m:rPr>
                <m:sty m:val="p"/>
              </m:rPr>
              <w:rPr>
                <w:rFonts w:ascii="Cambria Math" w:hAnsi="Cambria Math"/>
                <w:sz w:val="20"/>
                <w:szCs w:val="20"/>
              </w:rPr>
              <m:t>K</m:t>
            </m:r>
            <m:ctrlPr>
              <w:rPr>
                <w:rFonts w:ascii="Cambria Math" w:hAnsi="Cambria Math"/>
                <w:sz w:val="20"/>
                <w:szCs w:val="20"/>
              </w:rPr>
            </m:ctrlPr>
          </m:e>
          <m:sub>
            <m:r>
              <m:rPr>
                <m:sty m:val="p"/>
              </m:rPr>
              <w:rPr>
                <w:rFonts w:ascii="Cambria Math" w:hAnsi="Cambria Math"/>
                <w:sz w:val="20"/>
                <w:szCs w:val="20"/>
              </w:rPr>
              <m:t>s</m:t>
            </m:r>
            <m:ctrlPr>
              <w:rPr>
                <w:rFonts w:ascii="Cambria Math" w:hAnsi="Cambria Math"/>
                <w:sz w:val="20"/>
                <w:szCs w:val="20"/>
              </w:rPr>
            </m:ctrlPr>
          </m:sub>
        </m:sSub>
        <m:r>
          <m:rPr>
            <m:sty m:val="p"/>
          </m:rPr>
          <w:rPr>
            <w:rFonts w:ascii="Cambria Math" w:hAnsi="Cambria Math"/>
            <w:sz w:val="20"/>
            <w:szCs w:val="20"/>
          </w:rPr>
          <m:t>=1.25</m:t>
        </m:r>
      </m:oMath>
      <w:r>
        <w:rPr>
          <w:rFonts w:ascii="Times New Roman" w:hAnsi="Times New Roman"/>
          <w:sz w:val="20"/>
          <w:szCs w:val="20"/>
        </w:rPr>
        <w:t xml:space="preserve"> and </w:t>
      </w:r>
      <m:oMath>
        <m:sSub>
          <m:sSubPr>
            <m:ctrlPr>
              <w:rPr>
                <w:rFonts w:ascii="Cambria Math" w:hAnsi="Cambria Math"/>
                <w:sz w:val="20"/>
                <w:szCs w:val="20"/>
              </w:rPr>
            </m:ctrlPr>
          </m:sSubPr>
          <m:e>
            <m:r>
              <m:rPr>
                <m:sty m:val="p"/>
              </m:rPr>
              <w:rPr>
                <w:rFonts w:ascii="Cambria Math" w:hAnsi="Cambria Math"/>
                <w:sz w:val="20"/>
                <w:szCs w:val="20"/>
              </w:rPr>
              <m:t>∆</m:t>
            </m:r>
            <m:ctrlPr>
              <w:rPr>
                <w:rFonts w:ascii="Cambria Math" w:hAnsi="Cambria Math"/>
                <w:sz w:val="20"/>
                <w:szCs w:val="20"/>
              </w:rPr>
            </m:ctrlPr>
          </m:e>
          <m:sub>
            <m:r>
              <m:rPr>
                <m:sty m:val="p"/>
              </m:rPr>
              <w:rPr>
                <w:rFonts w:ascii="Cambria Math" w:hAnsi="Cambria Math"/>
                <w:sz w:val="20"/>
                <w:szCs w:val="20"/>
              </w:rPr>
              <m:t>TF,c</m:t>
            </m:r>
            <m:ctrlPr>
              <w:rPr>
                <w:rFonts w:ascii="Cambria Math" w:hAnsi="Cambria Math"/>
                <w:sz w:val="20"/>
                <w:szCs w:val="20"/>
              </w:rPr>
            </m:ctrlPr>
          </m:sub>
        </m:sSub>
        <m:d>
          <m:dPr>
            <m:ctrlPr>
              <w:rPr>
                <w:rFonts w:ascii="Cambria Math" w:hAnsi="Cambria Math"/>
                <w:sz w:val="20"/>
                <w:szCs w:val="20"/>
              </w:rPr>
            </m:ctrlPr>
          </m:dPr>
          <m:e>
            <m:r>
              <m:rPr>
                <m:sty m:val="p"/>
              </m:rPr>
              <w:rPr>
                <w:rFonts w:ascii="Cambria Math" w:hAnsi="Cambria Math"/>
                <w:sz w:val="20"/>
                <w:szCs w:val="20"/>
              </w:rPr>
              <m:t>i</m:t>
            </m:r>
            <m:ctrlPr>
              <w:rPr>
                <w:rFonts w:ascii="Cambria Math" w:hAnsi="Cambria Math"/>
                <w:sz w:val="20"/>
                <w:szCs w:val="20"/>
              </w:rPr>
            </m:ctrlPr>
          </m:e>
        </m:d>
        <m:r>
          <m:rPr>
            <m:sty m:val="p"/>
          </m:rPr>
          <w:rPr>
            <w:rFonts w:ascii="Cambria Math" w:hAnsi="Cambria Math"/>
            <w:sz w:val="20"/>
            <w:szCs w:val="20"/>
          </w:rPr>
          <m:t>=0</m:t>
        </m:r>
      </m:oMath>
      <w:r>
        <w:rPr>
          <w:rFonts w:ascii="Times New Roman" w:hAnsi="Times New Roman"/>
          <w:sz w:val="20"/>
          <w:szCs w:val="20"/>
        </w:rPr>
        <w:t xml:space="preserve"> for </w:t>
      </w:r>
      <m:oMath>
        <m:sSub>
          <m:sSubPr>
            <m:ctrlPr>
              <w:rPr>
                <w:rFonts w:ascii="Cambria Math" w:hAnsi="Cambria Math"/>
                <w:sz w:val="20"/>
                <w:szCs w:val="20"/>
              </w:rPr>
            </m:ctrlPr>
          </m:sSubPr>
          <m:e>
            <m:r>
              <m:rPr>
                <m:sty m:val="p"/>
              </m:rPr>
              <w:rPr>
                <w:rFonts w:ascii="Cambria Math" w:hAnsi="Cambria Math"/>
                <w:sz w:val="20"/>
                <w:szCs w:val="20"/>
              </w:rPr>
              <m:t>K</m:t>
            </m:r>
            <m:ctrlPr>
              <w:rPr>
                <w:rFonts w:ascii="Cambria Math" w:hAnsi="Cambria Math"/>
                <w:sz w:val="20"/>
                <w:szCs w:val="20"/>
              </w:rPr>
            </m:ctrlPr>
          </m:e>
          <m:sub>
            <m:r>
              <m:rPr>
                <m:sty m:val="p"/>
              </m:rPr>
              <w:rPr>
                <w:rFonts w:ascii="Cambria Math" w:hAnsi="Cambria Math"/>
                <w:sz w:val="20"/>
                <w:szCs w:val="20"/>
              </w:rPr>
              <m:t>s</m:t>
            </m:r>
            <m:ctrlPr>
              <w:rPr>
                <w:rFonts w:ascii="Cambria Math" w:hAnsi="Cambria Math"/>
                <w:sz w:val="20"/>
                <w:szCs w:val="20"/>
              </w:rPr>
            </m:ctrlPr>
          </m:sub>
        </m:sSub>
        <m:r>
          <m:rPr>
            <m:sty m:val="p"/>
          </m:rPr>
          <w:rPr>
            <w:rFonts w:ascii="Cambria Math" w:hAnsi="Cambria Math"/>
            <w:sz w:val="20"/>
            <w:szCs w:val="20"/>
          </w:rPr>
          <m:t>=0</m:t>
        </m:r>
      </m:oMath>
      <w:r>
        <w:rPr>
          <w:rFonts w:ascii="Times New Roman" w:hAnsi="Times New Roman"/>
          <w:sz w:val="20"/>
          <w:szCs w:val="20"/>
        </w:rPr>
        <w:t xml:space="preserve">, where </w:t>
      </w:r>
      <m:oMath>
        <m:sSub>
          <m:sSubPr>
            <m:ctrlPr>
              <w:rPr>
                <w:rFonts w:ascii="Cambria Math" w:hAnsi="Cambria Math"/>
                <w:sz w:val="20"/>
                <w:szCs w:val="20"/>
              </w:rPr>
            </m:ctrlPr>
          </m:sSubPr>
          <m:e>
            <m:r>
              <m:rPr>
                <m:sty m:val="p"/>
              </m:rPr>
              <w:rPr>
                <w:rFonts w:ascii="Cambria Math" w:hAnsi="Cambria Math"/>
                <w:sz w:val="20"/>
                <w:szCs w:val="20"/>
              </w:rPr>
              <m:t>K</m:t>
            </m:r>
            <m:ctrlPr>
              <w:rPr>
                <w:rFonts w:ascii="Cambria Math" w:hAnsi="Cambria Math"/>
                <w:sz w:val="20"/>
                <w:szCs w:val="20"/>
              </w:rPr>
            </m:ctrlPr>
          </m:e>
          <m:sub>
            <m:r>
              <m:rPr>
                <m:sty m:val="p"/>
              </m:rPr>
              <w:rPr>
                <w:rFonts w:ascii="Cambria Math" w:hAnsi="Cambria Math"/>
                <w:sz w:val="20"/>
                <w:szCs w:val="20"/>
              </w:rPr>
              <m:t>s</m:t>
            </m:r>
            <m:ctrlPr>
              <w:rPr>
                <w:rFonts w:ascii="Cambria Math" w:hAnsi="Cambria Math"/>
                <w:sz w:val="20"/>
                <w:szCs w:val="20"/>
              </w:rPr>
            </m:ctrlPr>
          </m:sub>
        </m:sSub>
      </m:oMath>
      <w:r>
        <w:rPr>
          <w:rFonts w:ascii="Times New Roman" w:hAnsi="Times New Roman"/>
          <w:sz w:val="20"/>
          <w:szCs w:val="20"/>
        </w:rPr>
        <w:t xml:space="preserve"> is given by higher layer parameter </w:t>
      </w:r>
      <w:r>
        <w:rPr>
          <w:rFonts w:ascii="Times New Roman" w:hAnsi="Times New Roman"/>
          <w:i/>
          <w:iCs/>
          <w:sz w:val="20"/>
          <w:szCs w:val="20"/>
        </w:rPr>
        <w:t>deltaMCS-Enabled</w:t>
      </w:r>
      <w:r>
        <w:rPr>
          <w:rFonts w:ascii="Times New Roman" w:hAnsi="Times New Roman"/>
          <w:sz w:val="20"/>
          <w:szCs w:val="20"/>
        </w:rPr>
        <w:t xml:space="preserve">, and </w:t>
      </w:r>
      <m:oMath>
        <m:r>
          <m:rPr>
            <m:sty m:val="p"/>
          </m:rPr>
          <w:rPr>
            <w:rFonts w:ascii="Cambria Math" w:hAnsi="Cambria Math"/>
            <w:sz w:val="20"/>
            <w:szCs w:val="20"/>
          </w:rPr>
          <m:t>BPRE=</m:t>
        </m:r>
        <m:f>
          <m:fPr>
            <m:ctrlPr>
              <w:rPr>
                <w:rFonts w:ascii="Cambria Math" w:hAnsi="Cambria Math"/>
                <w:sz w:val="20"/>
                <w:szCs w:val="20"/>
              </w:rPr>
            </m:ctrlPr>
          </m:fPr>
          <m:num>
            <m:r>
              <m:rPr>
                <m:sty m:val="p"/>
              </m:rPr>
              <w:rPr>
                <w:rFonts w:ascii="Cambria Math" w:hAnsi="Cambria Math"/>
                <w:sz w:val="20"/>
                <w:szCs w:val="20"/>
              </w:rPr>
              <m:t>K</m:t>
            </m:r>
            <m:ctrlPr>
              <w:rPr>
                <w:rFonts w:ascii="Cambria Math" w:hAnsi="Cambria Math"/>
                <w:sz w:val="20"/>
                <w:szCs w:val="20"/>
              </w:rPr>
            </m:ctrlPr>
          </m:num>
          <m:den>
            <m:sSub>
              <m:sSubPr>
                <m:ctrlPr>
                  <w:rPr>
                    <w:rFonts w:ascii="Cambria Math" w:hAnsi="Cambria Math"/>
                    <w:sz w:val="20"/>
                    <w:szCs w:val="20"/>
                  </w:rPr>
                </m:ctrlPr>
              </m:sSubPr>
              <m:e>
                <m:r>
                  <m:rPr>
                    <m:sty m:val="p"/>
                  </m:rPr>
                  <w:rPr>
                    <w:rFonts w:ascii="Cambria Math" w:hAnsi="Cambria Math"/>
                    <w:sz w:val="20"/>
                    <w:szCs w:val="20"/>
                  </w:rPr>
                  <m:t>N</m:t>
                </m:r>
                <m:ctrlPr>
                  <w:rPr>
                    <w:rFonts w:ascii="Cambria Math" w:hAnsi="Cambria Math"/>
                    <w:sz w:val="20"/>
                    <w:szCs w:val="20"/>
                  </w:rPr>
                </m:ctrlPr>
              </m:e>
              <m:sub>
                <m:r>
                  <m:rPr>
                    <m:sty m:val="p"/>
                  </m:rPr>
                  <w:rPr>
                    <w:rFonts w:ascii="Cambria Math" w:hAnsi="Cambria Math"/>
                    <w:sz w:val="20"/>
                    <w:szCs w:val="20"/>
                  </w:rPr>
                  <m:t>RE</m:t>
                </m:r>
                <m:ctrlPr>
                  <w:rPr>
                    <w:rFonts w:ascii="Cambria Math" w:hAnsi="Cambria Math"/>
                    <w:sz w:val="20"/>
                    <w:szCs w:val="20"/>
                  </w:rPr>
                </m:ctrlPr>
              </m:sub>
            </m:sSub>
            <m:ctrlPr>
              <w:rPr>
                <w:rFonts w:ascii="Cambria Math" w:hAnsi="Cambria Math"/>
                <w:sz w:val="20"/>
                <w:szCs w:val="20"/>
              </w:rPr>
            </m:ctrlPr>
          </m:den>
        </m:f>
      </m:oMath>
      <w:r>
        <w:rPr>
          <w:rFonts w:ascii="Times New Roman" w:hAnsi="Times New Roman"/>
          <w:sz w:val="20"/>
          <w:szCs w:val="20"/>
        </w:rPr>
        <w:t xml:space="preserve"> where K is the code block size.</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line="240" w:lineRule="auto"/>
        <w:textAlignment w:val="auto"/>
        <w:rPr>
          <w:rFonts w:hint="eastAsia" w:cs="Times New Roman" w:eastAsiaTheme="minorEastAsia"/>
          <w:b/>
          <w:bCs/>
          <w:i/>
          <w:iCs/>
          <w:sz w:val="20"/>
          <w:szCs w:val="20"/>
          <w:lang w:val="en-US" w:eastAsia="zh-CN"/>
        </w:rPr>
      </w:pPr>
      <w:r>
        <w:rPr>
          <w:rFonts w:hint="eastAsia" w:cs="Times New Roman"/>
          <w:b/>
          <w:bCs/>
          <w:i/>
          <w:iCs/>
          <w:sz w:val="20"/>
          <w:szCs w:val="20"/>
          <w:lang w:val="en-US" w:eastAsia="zh-CN"/>
        </w:rPr>
        <w:t xml:space="preserve">Proposal 1: Confirm the working assumption for </w:t>
      </w:r>
      <m:oMath>
        <m:sSub>
          <m:sSubPr>
            <m:ctrlPr>
              <w:rPr>
                <w:rFonts w:ascii="Cambria Math" w:hAnsi="Cambria Math"/>
                <w:b/>
                <w:bCs/>
                <w:i/>
                <w:iCs/>
                <w:sz w:val="20"/>
                <w:szCs w:val="20"/>
              </w:rPr>
            </m:ctrlPr>
          </m:sSubPr>
          <m:e>
            <m:r>
              <m:rPr>
                <m:sty m:val="bi"/>
              </m:rPr>
              <w:rPr>
                <w:rFonts w:ascii="Cambria Math" w:hAnsi="Cambria Math"/>
                <w:sz w:val="20"/>
                <w:szCs w:val="20"/>
              </w:rPr>
              <m:t>∆</m:t>
            </m:r>
            <m:ctrlPr>
              <w:rPr>
                <w:rFonts w:ascii="Cambria Math" w:hAnsi="Cambria Math"/>
                <w:b/>
                <w:bCs/>
                <w:i/>
                <w:iCs/>
                <w:sz w:val="20"/>
                <w:szCs w:val="20"/>
              </w:rPr>
            </m:ctrlPr>
          </m:e>
          <m:sub>
            <m:r>
              <m:rPr>
                <m:sty m:val="bi"/>
              </m:rPr>
              <w:rPr>
                <w:rFonts w:ascii="Cambria Math" w:hAnsi="Cambria Math"/>
                <w:sz w:val="20"/>
                <w:szCs w:val="20"/>
              </w:rPr>
              <m:t>TF,c</m:t>
            </m:r>
            <m:ctrlPr>
              <w:rPr>
                <w:rFonts w:ascii="Cambria Math" w:hAnsi="Cambria Math"/>
                <w:b/>
                <w:bCs/>
                <w:i/>
                <w:iCs/>
                <w:sz w:val="20"/>
                <w:szCs w:val="20"/>
              </w:rPr>
            </m:ctrlPr>
          </m:sub>
        </m:sSub>
      </m:oMath>
      <w:r>
        <w:rPr>
          <w:rFonts w:ascii="Times New Roman" w:hAnsi="Times New Roman"/>
          <w:b/>
          <w:bCs/>
          <w:i/>
          <w:iCs/>
          <w:sz w:val="20"/>
          <w:szCs w:val="20"/>
        </w:rPr>
        <w:t xml:space="preserve"> introduced for power control of NPUSCH</w:t>
      </w:r>
      <w:r>
        <w:rPr>
          <w:rFonts w:hint="eastAsia"/>
          <w:b/>
          <w:bCs/>
          <w:i/>
          <w:iCs/>
          <w:sz w:val="20"/>
          <w:szCs w:val="20"/>
          <w:lang w:val="en-US" w:eastAsia="zh-CN"/>
        </w:rPr>
        <w:t>.</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line="240" w:lineRule="auto"/>
        <w:textAlignment w:val="auto"/>
        <w:rPr>
          <w:rFonts w:hint="default" w:ascii="Times New Roman" w:hAnsi="Times New Roman" w:cs="Times New Roman" w:eastAsiaTheme="minorEastAsia"/>
          <w:b w:val="0"/>
          <w:bCs w:val="0"/>
          <w:i w:val="0"/>
          <w:iCs w:val="0"/>
          <w:sz w:val="20"/>
          <w:szCs w:val="20"/>
          <w:lang w:val="en-US" w:eastAsia="zh-CN"/>
        </w:rPr>
      </w:pPr>
      <w:r>
        <w:rPr>
          <w:rFonts w:hint="eastAsia" w:cs="Times New Roman"/>
          <w:b w:val="0"/>
          <w:bCs w:val="0"/>
          <w:i w:val="0"/>
          <w:iCs w:val="0"/>
          <w:sz w:val="20"/>
          <w:szCs w:val="20"/>
          <w:lang w:val="en-US" w:eastAsia="zh-CN"/>
        </w:rPr>
        <w:t xml:space="preserve">In order to avoid </w:t>
      </w:r>
      <w:r>
        <w:rPr>
          <w:rFonts w:hint="default" w:ascii="Times New Roman" w:hAnsi="Times New Roman" w:cs="Times New Roman"/>
          <w:b w:val="0"/>
          <w:bCs w:val="0"/>
          <w:i w:val="0"/>
          <w:iCs w:val="0"/>
          <w:sz w:val="20"/>
          <w:szCs w:val="20"/>
          <w:lang w:val="en-US" w:eastAsia="zh-CN"/>
        </w:rPr>
        <w:t>a large power jump between QPSK and 16QAM, the following three options are considered for UL power control in last meeting</w:t>
      </w:r>
      <w:r>
        <w:rPr>
          <w:rFonts w:hint="eastAsia" w:cs="Times New Roman"/>
          <w:b w:val="0"/>
          <w:bCs w:val="0"/>
          <w:i w:val="0"/>
          <w:iCs w:val="0"/>
          <w:sz w:val="20"/>
          <w:szCs w:val="20"/>
          <w:lang w:val="en-US" w:eastAsia="zh-CN"/>
        </w:rPr>
        <w:t xml:space="preserve"> [2]</w:t>
      </w:r>
      <w:r>
        <w:rPr>
          <w:rFonts w:hint="default" w:ascii="Times New Roman" w:hAnsi="Times New Roman" w:cs="Times New Roman"/>
          <w:b w:val="0"/>
          <w:bCs w:val="0"/>
          <w:i w:val="0"/>
          <w:iCs w:val="0"/>
          <w:sz w:val="20"/>
          <w:szCs w:val="20"/>
          <w:lang w:val="en-US" w:eastAsia="zh-CN"/>
        </w:rPr>
        <w:t>.</w:t>
      </w:r>
    </w:p>
    <w:p>
      <w:pPr>
        <w:pStyle w:val="45"/>
        <w:keepNext w:val="0"/>
        <w:keepLines w:val="0"/>
        <w:pageBreakBefore w:val="0"/>
        <w:widowControl/>
        <w:numPr>
          <w:ilvl w:val="0"/>
          <w:numId w:val="6"/>
        </w:numPr>
        <w:kinsoku/>
        <w:wordWrap/>
        <w:overflowPunct/>
        <w:topLinePunct w:val="0"/>
        <w:autoSpaceDE w:val="0"/>
        <w:autoSpaceDN w:val="0"/>
        <w:bidi w:val="0"/>
        <w:adjustRightInd w:val="0"/>
        <w:snapToGrid w:val="0"/>
        <w:spacing w:line="240" w:lineRule="auto"/>
        <w:ind w:left="363" w:leftChars="0" w:hanging="181" w:firstLineChars="0"/>
        <w:textAlignment w:val="auto"/>
        <w:rPr>
          <w:rFonts w:hint="default" w:ascii="Times New Roman" w:hAnsi="Times New Roman" w:cs="Times New Roman"/>
          <w:sz w:val="20"/>
          <w:szCs w:val="20"/>
        </w:rPr>
      </w:pPr>
      <w:bookmarkStart w:id="14" w:name="OLE_LINK6"/>
      <w:r>
        <w:rPr>
          <w:rFonts w:hint="default" w:ascii="Times New Roman" w:hAnsi="Times New Roman" w:cs="Times New Roman"/>
          <w:sz w:val="20"/>
          <w:szCs w:val="20"/>
          <w:lang w:val="en-US" w:eastAsia="zh-CN"/>
        </w:rPr>
        <w:t xml:space="preserve">Option 1: </w:t>
      </w:r>
      <w:r>
        <w:rPr>
          <w:rFonts w:hint="default" w:ascii="Times New Roman" w:hAnsi="Times New Roman" w:cs="Times New Roman"/>
          <w:sz w:val="20"/>
          <w:szCs w:val="20"/>
        </w:rPr>
        <w:t xml:space="preserve">The new term </w:t>
      </w:r>
      <m:oMath>
        <m:sSub>
          <m:sSubPr>
            <m:ctrlPr>
              <w:rPr>
                <w:rFonts w:hint="default" w:ascii="Cambria Math" w:hAnsi="Cambria Math" w:cs="Times New Roman"/>
                <w:sz w:val="20"/>
                <w:szCs w:val="20"/>
              </w:rPr>
            </m:ctrlPr>
          </m:sSubPr>
          <m:e>
            <m:r>
              <m:rPr>
                <m:sty m:val="p"/>
              </m:rPr>
              <w:rPr>
                <w:rFonts w:hint="default" w:ascii="Cambria Math" w:hAnsi="Cambria Math" w:cs="Times New Roman"/>
                <w:sz w:val="20"/>
                <w:szCs w:val="20"/>
              </w:rPr>
              <m:t>∆</m:t>
            </m:r>
            <m:ctrlPr>
              <w:rPr>
                <w:rFonts w:hint="default" w:ascii="Cambria Math" w:hAnsi="Cambria Math" w:cs="Times New Roman"/>
                <w:sz w:val="20"/>
                <w:szCs w:val="20"/>
              </w:rPr>
            </m:ctrlPr>
          </m:e>
          <m:sub>
            <m:r>
              <w:rPr>
                <w:rFonts w:hint="default" w:ascii="Cambria Math" w:hAnsi="Cambria Math" w:cs="Times New Roman"/>
                <w:sz w:val="20"/>
                <w:szCs w:val="20"/>
              </w:rPr>
              <m:t>TF</m:t>
            </m:r>
            <m:r>
              <m:rPr>
                <m:sty m:val="p"/>
              </m:rPr>
              <w:rPr>
                <w:rFonts w:hint="default" w:ascii="Cambria Math" w:hAnsi="Cambria Math" w:cs="Times New Roman"/>
                <w:sz w:val="20"/>
                <w:szCs w:val="20"/>
              </w:rPr>
              <m:t>,</m:t>
            </m:r>
            <m:r>
              <w:rPr>
                <w:rFonts w:hint="default" w:ascii="Cambria Math" w:hAnsi="Cambria Math" w:cs="Times New Roman"/>
                <w:sz w:val="20"/>
                <w:szCs w:val="20"/>
              </w:rPr>
              <m:t>c</m:t>
            </m:r>
            <m:ctrlPr>
              <w:rPr>
                <w:rFonts w:hint="default" w:ascii="Cambria Math" w:hAnsi="Cambria Math" w:cs="Times New Roman"/>
                <w:sz w:val="20"/>
                <w:szCs w:val="20"/>
              </w:rPr>
            </m:ctrlPr>
          </m:sub>
        </m:sSub>
      </m:oMath>
      <w:r>
        <w:rPr>
          <w:rFonts w:hint="default" w:ascii="Times New Roman" w:hAnsi="Times New Roman" w:cs="Times New Roman"/>
          <w:sz w:val="20"/>
          <w:szCs w:val="20"/>
        </w:rPr>
        <w:t xml:space="preserve"> can also be applied to QPSK when 16-QAM is configured</w:t>
      </w:r>
    </w:p>
    <w:bookmarkEnd w:id="14"/>
    <w:p>
      <w:pPr>
        <w:pStyle w:val="45"/>
        <w:keepNext w:val="0"/>
        <w:keepLines w:val="0"/>
        <w:pageBreakBefore w:val="0"/>
        <w:widowControl/>
        <w:numPr>
          <w:ilvl w:val="0"/>
          <w:numId w:val="6"/>
        </w:numPr>
        <w:kinsoku/>
        <w:wordWrap/>
        <w:overflowPunct/>
        <w:topLinePunct w:val="0"/>
        <w:autoSpaceDE w:val="0"/>
        <w:autoSpaceDN w:val="0"/>
        <w:bidi w:val="0"/>
        <w:adjustRightInd w:val="0"/>
        <w:snapToGrid w:val="0"/>
        <w:spacing w:line="240" w:lineRule="auto"/>
        <w:ind w:left="363" w:leftChars="0" w:hanging="181"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lang w:val="en-US" w:eastAsia="zh-CN"/>
        </w:rPr>
        <w:t xml:space="preserve">Option 2: </w:t>
      </w:r>
      <w:r>
        <w:rPr>
          <w:rFonts w:hint="default" w:ascii="Times New Roman" w:hAnsi="Times New Roman" w:cs="Times New Roman"/>
          <w:sz w:val="20"/>
          <w:szCs w:val="20"/>
        </w:rPr>
        <w:t xml:space="preserve">The new term </w:t>
      </w:r>
      <m:oMath>
        <m:sSub>
          <m:sSubPr>
            <m:ctrlPr>
              <w:rPr>
                <w:rFonts w:hint="default" w:ascii="Cambria Math" w:hAnsi="Cambria Math" w:cs="Times New Roman"/>
                <w:sz w:val="20"/>
                <w:szCs w:val="20"/>
              </w:rPr>
            </m:ctrlPr>
          </m:sSubPr>
          <m:e>
            <m:r>
              <m:rPr>
                <m:sty m:val="p"/>
              </m:rPr>
              <w:rPr>
                <w:rFonts w:hint="default" w:ascii="Cambria Math" w:hAnsi="Cambria Math" w:cs="Times New Roman"/>
                <w:sz w:val="20"/>
                <w:szCs w:val="20"/>
              </w:rPr>
              <m:t>∆</m:t>
            </m:r>
            <m:ctrlPr>
              <w:rPr>
                <w:rFonts w:hint="default" w:ascii="Cambria Math" w:hAnsi="Cambria Math" w:cs="Times New Roman"/>
                <w:sz w:val="20"/>
                <w:szCs w:val="20"/>
              </w:rPr>
            </m:ctrlPr>
          </m:e>
          <m:sub>
            <m:r>
              <w:rPr>
                <w:rFonts w:hint="default" w:ascii="Cambria Math" w:hAnsi="Cambria Math" w:cs="Times New Roman"/>
                <w:sz w:val="20"/>
                <w:szCs w:val="20"/>
              </w:rPr>
              <m:t>TF</m:t>
            </m:r>
            <m:r>
              <m:rPr>
                <m:sty m:val="p"/>
              </m:rPr>
              <w:rPr>
                <w:rFonts w:hint="default" w:ascii="Cambria Math" w:hAnsi="Cambria Math" w:cs="Times New Roman"/>
                <w:sz w:val="20"/>
                <w:szCs w:val="20"/>
              </w:rPr>
              <m:t>,</m:t>
            </m:r>
            <m:r>
              <w:rPr>
                <w:rFonts w:hint="default" w:ascii="Cambria Math" w:hAnsi="Cambria Math" w:cs="Times New Roman"/>
                <w:sz w:val="20"/>
                <w:szCs w:val="20"/>
              </w:rPr>
              <m:t>c</m:t>
            </m:r>
            <m:ctrlPr>
              <w:rPr>
                <w:rFonts w:hint="default" w:ascii="Cambria Math" w:hAnsi="Cambria Math" w:cs="Times New Roman"/>
                <w:sz w:val="20"/>
                <w:szCs w:val="20"/>
              </w:rPr>
            </m:ctrlPr>
          </m:sub>
        </m:sSub>
      </m:oMath>
      <w:r>
        <w:rPr>
          <w:rFonts w:hint="default" w:ascii="Times New Roman" w:hAnsi="Times New Roman" w:cs="Times New Roman"/>
          <w:sz w:val="20"/>
          <w:szCs w:val="20"/>
        </w:rPr>
        <w:t xml:space="preserve"> is not applied to QPSK when 16-QAM is configured, and an offset is applied on </w:t>
      </w:r>
      <m:oMath>
        <m:sSub>
          <m:sSubPr>
            <m:ctrlPr>
              <w:rPr>
                <w:rFonts w:hint="default" w:ascii="Cambria Math" w:hAnsi="Cambria Math" w:cs="Times New Roman"/>
                <w:sz w:val="20"/>
                <w:szCs w:val="20"/>
              </w:rPr>
            </m:ctrlPr>
          </m:sSubPr>
          <m:e>
            <m:r>
              <m:rPr>
                <m:sty m:val="p"/>
              </m:rPr>
              <w:rPr>
                <w:rFonts w:hint="default" w:ascii="Cambria Math" w:hAnsi="Cambria Math" w:cs="Times New Roman"/>
                <w:sz w:val="20"/>
                <w:szCs w:val="20"/>
              </w:rPr>
              <m:t>∆</m:t>
            </m:r>
            <m:ctrlPr>
              <w:rPr>
                <w:rFonts w:hint="default" w:ascii="Cambria Math" w:hAnsi="Cambria Math" w:cs="Times New Roman"/>
                <w:sz w:val="20"/>
                <w:szCs w:val="20"/>
              </w:rPr>
            </m:ctrlPr>
          </m:e>
          <m:sub>
            <m:r>
              <w:rPr>
                <w:rFonts w:hint="default" w:ascii="Cambria Math" w:hAnsi="Cambria Math" w:cs="Times New Roman"/>
                <w:sz w:val="20"/>
                <w:szCs w:val="20"/>
              </w:rPr>
              <m:t>TF</m:t>
            </m:r>
            <m:r>
              <m:rPr>
                <m:sty m:val="p"/>
              </m:rPr>
              <w:rPr>
                <w:rFonts w:hint="default" w:ascii="Cambria Math" w:hAnsi="Cambria Math" w:cs="Times New Roman"/>
                <w:sz w:val="20"/>
                <w:szCs w:val="20"/>
              </w:rPr>
              <m:t>,</m:t>
            </m:r>
            <m:r>
              <w:rPr>
                <w:rFonts w:hint="default" w:ascii="Cambria Math" w:hAnsi="Cambria Math" w:cs="Times New Roman"/>
                <w:sz w:val="20"/>
                <w:szCs w:val="20"/>
              </w:rPr>
              <m:t>c</m:t>
            </m:r>
            <m:ctrlPr>
              <w:rPr>
                <w:rFonts w:hint="default" w:ascii="Cambria Math" w:hAnsi="Cambria Math" w:cs="Times New Roman"/>
                <w:sz w:val="20"/>
                <w:szCs w:val="20"/>
              </w:rPr>
            </m:ctrlPr>
          </m:sub>
        </m:sSub>
      </m:oMath>
      <w:r>
        <w:rPr>
          <w:rFonts w:hint="default" w:ascii="Times New Roman" w:hAnsi="Times New Roman" w:cs="Times New Roman"/>
          <w:sz w:val="20"/>
          <w:szCs w:val="20"/>
        </w:rPr>
        <w:t xml:space="preserve"> to reduce the power difference between QPSK and 16-QAM. FFS: The details on the offset.</w:t>
      </w:r>
    </w:p>
    <w:p>
      <w:pPr>
        <w:pStyle w:val="45"/>
        <w:keepNext w:val="0"/>
        <w:keepLines w:val="0"/>
        <w:pageBreakBefore w:val="0"/>
        <w:widowControl/>
        <w:numPr>
          <w:ilvl w:val="0"/>
          <w:numId w:val="6"/>
        </w:numPr>
        <w:kinsoku/>
        <w:wordWrap/>
        <w:overflowPunct/>
        <w:topLinePunct w:val="0"/>
        <w:autoSpaceDE w:val="0"/>
        <w:autoSpaceDN w:val="0"/>
        <w:bidi w:val="0"/>
        <w:adjustRightInd w:val="0"/>
        <w:snapToGrid w:val="0"/>
        <w:spacing w:line="240" w:lineRule="auto"/>
        <w:ind w:left="363" w:leftChars="0" w:hanging="181"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lang w:val="en-US" w:eastAsia="zh-CN"/>
        </w:rPr>
        <w:t xml:space="preserve">Option 3: </w:t>
      </w:r>
      <w:r>
        <w:rPr>
          <w:rFonts w:hint="default" w:ascii="Times New Roman" w:hAnsi="Times New Roman" w:cs="Times New Roman"/>
          <w:sz w:val="20"/>
          <w:szCs w:val="20"/>
        </w:rPr>
        <w:t xml:space="preserve">For NPUSCH with 16-QAM, the </w:t>
      </w:r>
      <m:oMath>
        <m:sSub>
          <m:sSubPr>
            <m:ctrlPr>
              <w:rPr>
                <w:rFonts w:hint="default" w:ascii="Cambria Math" w:hAnsi="Cambria Math" w:eastAsia="Cambria Math" w:cs="Times New Roman"/>
                <w:i/>
                <w:sz w:val="20"/>
                <w:szCs w:val="20"/>
              </w:rPr>
            </m:ctrlPr>
          </m:sSubPr>
          <m:e>
            <m:r>
              <w:rPr>
                <w:rFonts w:hint="default" w:ascii="Cambria Math" w:hAnsi="Cambria Math" w:eastAsia="Cambria Math" w:cs="Times New Roman"/>
                <w:sz w:val="20"/>
                <w:szCs w:val="20"/>
              </w:rPr>
              <m:t>P</m:t>
            </m:r>
            <m:ctrlPr>
              <w:rPr>
                <w:rFonts w:hint="default" w:ascii="Cambria Math" w:hAnsi="Cambria Math" w:eastAsia="Cambria Math" w:cs="Times New Roman"/>
                <w:i/>
                <w:sz w:val="20"/>
                <w:szCs w:val="20"/>
              </w:rPr>
            </m:ctrlPr>
          </m:e>
          <m:sub>
            <m:r>
              <w:rPr>
                <w:rFonts w:hint="default" w:ascii="Cambria Math" w:hAnsi="Cambria Math" w:eastAsia="Cambria Math" w:cs="Times New Roman"/>
                <w:sz w:val="20"/>
                <w:szCs w:val="20"/>
              </w:rPr>
              <m:t>O_NOMINAL_NPUSCH,c</m:t>
            </m:r>
            <m:ctrlPr>
              <w:rPr>
                <w:rFonts w:hint="default" w:ascii="Cambria Math" w:hAnsi="Cambria Math" w:eastAsia="Cambria Math" w:cs="Times New Roman"/>
                <w:i/>
                <w:sz w:val="20"/>
                <w:szCs w:val="20"/>
              </w:rPr>
            </m:ctrlPr>
          </m:sub>
        </m:sSub>
      </m:oMath>
      <w:r>
        <w:rPr>
          <w:rFonts w:hint="default" w:ascii="Times New Roman" w:hAnsi="Times New Roman" w:cs="Times New Roman"/>
          <w:sz w:val="20"/>
          <w:szCs w:val="20"/>
        </w:rPr>
        <w:t xml:space="preserve"> is configured by a new parameter p0-NominalNPUSCH</w:t>
      </w:r>
    </w:p>
    <w:p>
      <w:pPr>
        <w:pStyle w:val="45"/>
        <w:keepNext w:val="0"/>
        <w:keepLines w:val="0"/>
        <w:pageBreakBefore w:val="0"/>
        <w:widowControl/>
        <w:numPr>
          <w:ilvl w:val="0"/>
          <w:numId w:val="0"/>
        </w:numPr>
        <w:kinsoku/>
        <w:wordWrap/>
        <w:overflowPunct/>
        <w:topLinePunct w:val="0"/>
        <w:autoSpaceDE w:val="0"/>
        <w:autoSpaceDN w:val="0"/>
        <w:bidi w:val="0"/>
        <w:adjustRightInd w:val="0"/>
        <w:snapToGrid w:val="0"/>
        <w:spacing w:line="240" w:lineRule="auto"/>
        <w:ind w:leftChars="0"/>
        <w:textAlignment w:val="auto"/>
        <w:rPr>
          <w:rFonts w:hint="default" w:ascii="Times New Roman" w:hAnsi="Times New Roman" w:eastAsia="宋体" w:cs="Times New Roman"/>
          <w:bCs/>
          <w:sz w:val="20"/>
          <w:szCs w:val="20"/>
          <w:lang w:val="en-US" w:eastAsia="zh-CN"/>
        </w:rPr>
      </w:pPr>
      <w:r>
        <w:rPr>
          <w:rFonts w:hint="default" w:ascii="Times New Roman" w:hAnsi="Times New Roman" w:cs="Times New Roman"/>
          <w:sz w:val="20"/>
          <w:szCs w:val="20"/>
          <w:lang w:val="en-US" w:eastAsia="zh-CN"/>
        </w:rPr>
        <w:t xml:space="preserve">According to the agreement, </w:t>
      </w:r>
      <w:r>
        <w:rPr>
          <w:rFonts w:hint="default" w:ascii="Times New Roman" w:hAnsi="Times New Roman" w:eastAsia="宋体" w:cs="Times New Roman"/>
          <w:bCs/>
          <w:sz w:val="20"/>
          <w:szCs w:val="20"/>
          <w:lang w:val="en-US" w:eastAsia="zh-CN"/>
        </w:rPr>
        <w:t>the</w:t>
      </w:r>
      <w:r>
        <w:rPr>
          <w:rFonts w:hint="default" w:ascii="Times New Roman" w:hAnsi="Times New Roman" w:eastAsia="Times New Roman" w:cs="Times New Roman"/>
          <w:bCs/>
          <w:sz w:val="20"/>
          <w:szCs w:val="20"/>
          <w:lang w:eastAsia="ar-SA"/>
        </w:rPr>
        <w:t xml:space="preserve"> new term </w:t>
      </w:r>
      <w:r>
        <w:rPr>
          <w:rFonts w:hint="default" w:ascii="Times New Roman" w:hAnsi="Times New Roman" w:eastAsia="宋体" w:cs="Times New Roman"/>
          <w:bCs/>
          <w:sz w:val="20"/>
          <w:szCs w:val="20"/>
          <w:lang w:val="en-US" w:eastAsia="zh-CN"/>
        </w:rPr>
        <w:t xml:space="preserve">is introduced for </w:t>
      </w:r>
      <w:r>
        <w:rPr>
          <w:rFonts w:hint="default" w:ascii="Times New Roman" w:hAnsi="Times New Roman" w:eastAsia="Times New Roman" w:cs="Times New Roman"/>
          <w:bCs/>
          <w:sz w:val="20"/>
          <w:szCs w:val="20"/>
          <w:lang w:eastAsia="ar-SA"/>
        </w:rPr>
        <w:t>uplink power control</w:t>
      </w:r>
      <w:r>
        <w:rPr>
          <w:rFonts w:hint="default" w:ascii="Times New Roman" w:hAnsi="Times New Roman" w:eastAsia="宋体" w:cs="Times New Roman"/>
          <w:bCs/>
          <w:sz w:val="20"/>
          <w:szCs w:val="20"/>
          <w:lang w:val="en-US" w:eastAsia="zh-CN"/>
        </w:rPr>
        <w:t xml:space="preserve"> to support</w:t>
      </w:r>
      <w:r>
        <w:rPr>
          <w:rFonts w:hint="default" w:ascii="Times New Roman" w:hAnsi="Times New Roman" w:eastAsia="Times New Roman" w:cs="Times New Roman"/>
          <w:bCs/>
          <w:sz w:val="20"/>
          <w:szCs w:val="20"/>
          <w:lang w:eastAsia="ar-SA"/>
        </w:rPr>
        <w:t xml:space="preserve"> NPUSCH using 16QAM</w:t>
      </w:r>
      <w:r>
        <w:rPr>
          <w:rFonts w:hint="default" w:ascii="Times New Roman" w:hAnsi="Times New Roman" w:eastAsia="宋体" w:cs="Times New Roman"/>
          <w:bCs/>
          <w:sz w:val="20"/>
          <w:szCs w:val="20"/>
          <w:lang w:val="en-US" w:eastAsia="zh-CN"/>
        </w:rPr>
        <w:t xml:space="preserve">. </w:t>
      </w:r>
      <w:r>
        <w:rPr>
          <w:rFonts w:hint="eastAsia" w:eastAsia="宋体" w:cs="Times New Roman"/>
          <w:bCs/>
          <w:sz w:val="20"/>
          <w:szCs w:val="20"/>
          <w:lang w:val="en-US" w:eastAsia="zh-CN"/>
        </w:rPr>
        <w:t xml:space="preserve">No clear requirements with respect to </w:t>
      </w:r>
      <m:oMath>
        <m:sSub>
          <m:sSubPr>
            <m:ctrlPr>
              <w:rPr>
                <w:rFonts w:hint="default" w:ascii="Cambria Math" w:hAnsi="Cambria Math" w:cs="Times New Roman"/>
                <w:sz w:val="20"/>
                <w:szCs w:val="20"/>
              </w:rPr>
            </m:ctrlPr>
          </m:sSubPr>
          <m:e>
            <m:r>
              <m:rPr>
                <m:sty m:val="p"/>
              </m:rPr>
              <w:rPr>
                <w:rFonts w:hint="default" w:ascii="Cambria Math" w:hAnsi="Cambria Math" w:cs="Times New Roman"/>
                <w:sz w:val="20"/>
                <w:szCs w:val="20"/>
              </w:rPr>
              <m:t>∆</m:t>
            </m:r>
            <m:ctrlPr>
              <w:rPr>
                <w:rFonts w:hint="default" w:ascii="Cambria Math" w:hAnsi="Cambria Math" w:cs="Times New Roman"/>
                <w:sz w:val="20"/>
                <w:szCs w:val="20"/>
              </w:rPr>
            </m:ctrlPr>
          </m:e>
          <m:sub>
            <m:r>
              <w:rPr>
                <w:rFonts w:hint="default" w:ascii="Cambria Math" w:hAnsi="Cambria Math" w:cs="Times New Roman"/>
                <w:sz w:val="20"/>
                <w:szCs w:val="20"/>
              </w:rPr>
              <m:t>TF</m:t>
            </m:r>
            <m:r>
              <m:rPr>
                <m:sty m:val="p"/>
              </m:rPr>
              <w:rPr>
                <w:rFonts w:hint="default" w:ascii="Cambria Math" w:hAnsi="Cambria Math" w:cs="Times New Roman"/>
                <w:sz w:val="20"/>
                <w:szCs w:val="20"/>
              </w:rPr>
              <m:t>,</m:t>
            </m:r>
            <m:r>
              <w:rPr>
                <w:rFonts w:hint="default" w:ascii="Cambria Math" w:hAnsi="Cambria Math" w:cs="Times New Roman"/>
                <w:sz w:val="20"/>
                <w:szCs w:val="20"/>
              </w:rPr>
              <m:t>c</m:t>
            </m:r>
            <m:ctrlPr>
              <w:rPr>
                <w:rFonts w:hint="default" w:ascii="Cambria Math" w:hAnsi="Cambria Math" w:cs="Times New Roman"/>
                <w:sz w:val="20"/>
                <w:szCs w:val="20"/>
              </w:rPr>
            </m:ctrlPr>
          </m:sub>
        </m:sSub>
      </m:oMath>
      <w:r>
        <w:rPr>
          <w:rFonts w:hint="eastAsia" w:ascii="Cambria Math" w:hAnsi="Cambria Math" w:cs="Times New Roman"/>
          <w:i w:val="0"/>
          <w:sz w:val="20"/>
          <w:szCs w:val="20"/>
          <w:lang w:val="en-US" w:eastAsia="zh-CN"/>
        </w:rPr>
        <w:t xml:space="preserve"> </w:t>
      </w:r>
      <w:r>
        <w:rPr>
          <w:rFonts w:hint="eastAsia" w:eastAsia="宋体" w:cs="Times New Roman"/>
          <w:bCs/>
          <w:sz w:val="20"/>
          <w:szCs w:val="20"/>
          <w:lang w:val="en-US" w:eastAsia="zh-CN"/>
        </w:rPr>
        <w:t xml:space="preserve">are shown for </w:t>
      </w:r>
      <w:r>
        <w:rPr>
          <w:rFonts w:hint="default" w:ascii="Times New Roman" w:hAnsi="Times New Roman" w:eastAsia="Times New Roman" w:cs="Times New Roman"/>
          <w:bCs/>
          <w:sz w:val="20"/>
          <w:szCs w:val="20"/>
          <w:lang w:eastAsia="ar-SA"/>
        </w:rPr>
        <w:t xml:space="preserve">NPUSCH using </w:t>
      </w:r>
      <w:r>
        <w:rPr>
          <w:rFonts w:hint="eastAsia" w:eastAsia="宋体" w:cs="Times New Roman"/>
          <w:bCs/>
          <w:sz w:val="20"/>
          <w:szCs w:val="20"/>
          <w:lang w:val="en-US" w:eastAsia="zh-CN"/>
        </w:rPr>
        <w:t>QPSK in NB-IoT. Hence, u</w:t>
      </w:r>
      <w:r>
        <w:rPr>
          <w:rFonts w:hint="default" w:ascii="Times New Roman" w:hAnsi="Times New Roman" w:eastAsia="Times New Roman" w:cs="Times New Roman"/>
          <w:bCs/>
          <w:sz w:val="20"/>
          <w:szCs w:val="20"/>
          <w:lang w:eastAsia="ar-SA"/>
        </w:rPr>
        <w:t>plink power control</w:t>
      </w:r>
      <w:r>
        <w:rPr>
          <w:rFonts w:hint="eastAsia" w:eastAsia="宋体" w:cs="Times New Roman"/>
          <w:bCs/>
          <w:sz w:val="20"/>
          <w:szCs w:val="20"/>
          <w:lang w:val="en-US" w:eastAsia="zh-CN"/>
        </w:rPr>
        <w:t xml:space="preserve"> should be consistent with legacy to avoid complexity increase when QPSK is used for UL transport block. </w:t>
      </w:r>
    </w:p>
    <w:p>
      <w:pPr>
        <w:pStyle w:val="45"/>
        <w:keepNext w:val="0"/>
        <w:keepLines w:val="0"/>
        <w:pageBreakBefore w:val="0"/>
        <w:widowControl/>
        <w:numPr>
          <w:ilvl w:val="0"/>
          <w:numId w:val="0"/>
        </w:numPr>
        <w:kinsoku/>
        <w:wordWrap/>
        <w:overflowPunct/>
        <w:topLinePunct w:val="0"/>
        <w:autoSpaceDE w:val="0"/>
        <w:autoSpaceDN w:val="0"/>
        <w:bidi w:val="0"/>
        <w:adjustRightInd w:val="0"/>
        <w:snapToGrid w:val="0"/>
        <w:spacing w:line="240" w:lineRule="auto"/>
        <w:ind w:leftChars="0"/>
        <w:textAlignment w:val="auto"/>
        <w:rPr>
          <w:rFonts w:hint="default" w:ascii="Times New Roman" w:hAnsi="Times New Roman" w:cs="Times New Roman"/>
          <w:i w:val="0"/>
          <w:sz w:val="20"/>
          <w:szCs w:val="20"/>
          <w:lang w:val="en-US" w:eastAsia="zh-CN"/>
        </w:rPr>
      </w:pPr>
      <w:r>
        <w:rPr>
          <w:rFonts w:hint="eastAsia" w:cs="Times New Roman"/>
          <w:sz w:val="20"/>
          <w:szCs w:val="20"/>
          <w:lang w:val="en-US" w:eastAsia="zh-CN"/>
        </w:rPr>
        <w:t xml:space="preserve">Then, to </w:t>
      </w:r>
      <w:r>
        <w:rPr>
          <w:rFonts w:hint="default" w:ascii="Times New Roman" w:hAnsi="Times New Roman" w:cs="Times New Roman"/>
          <w:sz w:val="20"/>
          <w:szCs w:val="20"/>
        </w:rPr>
        <w:t xml:space="preserve">reduce the power </w:t>
      </w:r>
      <w:r>
        <w:rPr>
          <w:rFonts w:hint="default" w:ascii="Times New Roman" w:hAnsi="Times New Roman" w:cs="Times New Roman"/>
          <w:sz w:val="20"/>
          <w:szCs w:val="20"/>
          <w:lang w:val="en-US"/>
        </w:rPr>
        <w:t xml:space="preserve">difference </w:t>
      </w:r>
      <w:r>
        <w:rPr>
          <w:rFonts w:hint="default" w:ascii="Times New Roman" w:hAnsi="Times New Roman" w:cs="Times New Roman"/>
          <w:sz w:val="20"/>
          <w:szCs w:val="20"/>
        </w:rPr>
        <w:t>between QPSK and 16QAM</w:t>
      </w:r>
      <w:r>
        <w:rPr>
          <w:rFonts w:hint="eastAsia" w:cs="Times New Roman"/>
          <w:sz w:val="20"/>
          <w:szCs w:val="20"/>
          <w:lang w:val="en-US" w:eastAsia="zh-CN"/>
        </w:rPr>
        <w:t xml:space="preserve">, </w:t>
      </w:r>
      <w:r>
        <w:rPr>
          <w:rFonts w:hint="default" w:ascii="Times New Roman" w:hAnsi="Times New Roman" w:cs="Times New Roman"/>
          <w:sz w:val="20"/>
          <w:szCs w:val="20"/>
        </w:rPr>
        <w:t xml:space="preserve">an </w:t>
      </w:r>
      <w:r>
        <w:rPr>
          <w:rFonts w:hint="eastAsia" w:cs="Times New Roman"/>
          <w:sz w:val="20"/>
          <w:szCs w:val="20"/>
          <w:lang w:val="en-US" w:eastAsia="zh-CN"/>
        </w:rPr>
        <w:t xml:space="preserve">additional </w:t>
      </w:r>
      <w:r>
        <w:rPr>
          <w:rFonts w:hint="default" w:ascii="Times New Roman" w:hAnsi="Times New Roman" w:cs="Times New Roman"/>
          <w:sz w:val="20"/>
          <w:szCs w:val="20"/>
        </w:rPr>
        <w:t xml:space="preserve">offset </w:t>
      </w:r>
      <w:r>
        <w:rPr>
          <w:rFonts w:hint="eastAsia" w:cs="Times New Roman"/>
          <w:sz w:val="20"/>
          <w:szCs w:val="20"/>
          <w:lang w:val="en-US" w:eastAsia="zh-CN"/>
        </w:rPr>
        <w:t>could be</w:t>
      </w:r>
      <w:r>
        <w:rPr>
          <w:rFonts w:hint="default" w:ascii="Times New Roman" w:hAnsi="Times New Roman" w:cs="Times New Roman"/>
          <w:sz w:val="20"/>
          <w:szCs w:val="20"/>
        </w:rPr>
        <w:t xml:space="preserve"> applied on </w:t>
      </w:r>
      <m:oMath>
        <m:sSub>
          <m:sSubPr>
            <m:ctrlPr>
              <w:rPr>
                <w:rFonts w:hint="default" w:ascii="Cambria Math" w:hAnsi="Cambria Math" w:cs="Times New Roman"/>
                <w:sz w:val="20"/>
                <w:szCs w:val="20"/>
              </w:rPr>
            </m:ctrlPr>
          </m:sSubPr>
          <m:e>
            <m:r>
              <m:rPr>
                <m:sty m:val="p"/>
              </m:rPr>
              <w:rPr>
                <w:rFonts w:hint="default" w:ascii="Cambria Math" w:hAnsi="Cambria Math" w:cs="Times New Roman"/>
                <w:sz w:val="20"/>
                <w:szCs w:val="20"/>
              </w:rPr>
              <m:t>∆</m:t>
            </m:r>
            <m:ctrlPr>
              <w:rPr>
                <w:rFonts w:hint="default" w:ascii="Cambria Math" w:hAnsi="Cambria Math" w:cs="Times New Roman"/>
                <w:sz w:val="20"/>
                <w:szCs w:val="20"/>
              </w:rPr>
            </m:ctrlPr>
          </m:e>
          <m:sub>
            <m:r>
              <w:rPr>
                <w:rFonts w:hint="default" w:ascii="Cambria Math" w:hAnsi="Cambria Math" w:cs="Times New Roman"/>
                <w:sz w:val="20"/>
                <w:szCs w:val="20"/>
              </w:rPr>
              <m:t>TF</m:t>
            </m:r>
            <m:r>
              <m:rPr>
                <m:sty m:val="p"/>
              </m:rPr>
              <w:rPr>
                <w:rFonts w:hint="default" w:ascii="Cambria Math" w:hAnsi="Cambria Math" w:cs="Times New Roman"/>
                <w:sz w:val="20"/>
                <w:szCs w:val="20"/>
              </w:rPr>
              <m:t>,</m:t>
            </m:r>
            <m:r>
              <w:rPr>
                <w:rFonts w:hint="default" w:ascii="Cambria Math" w:hAnsi="Cambria Math" w:cs="Times New Roman"/>
                <w:sz w:val="20"/>
                <w:szCs w:val="20"/>
              </w:rPr>
              <m:t>c</m:t>
            </m:r>
            <m:ctrlPr>
              <w:rPr>
                <w:rFonts w:hint="default" w:ascii="Cambria Math" w:hAnsi="Cambria Math" w:cs="Times New Roman"/>
                <w:sz w:val="20"/>
                <w:szCs w:val="20"/>
              </w:rPr>
            </m:ctrlPr>
          </m:sub>
        </m:sSub>
      </m:oMath>
      <w:r>
        <w:rPr>
          <w:rFonts w:hint="default" w:ascii="Times New Roman" w:hAnsi="Times New Roman" w:cs="Times New Roman"/>
          <w:i w:val="0"/>
          <w:sz w:val="20"/>
          <w:szCs w:val="20"/>
          <w:lang w:val="en-US" w:eastAsia="zh-CN"/>
        </w:rPr>
        <w:t xml:space="preserve"> for NPUSCH.</w:t>
      </w:r>
      <w:r>
        <w:rPr>
          <w:rFonts w:hint="eastAsia" w:ascii="Times New Roman" w:hAnsi="Times New Roman" w:cs="Times New Roman"/>
          <w:sz w:val="20"/>
          <w:szCs w:val="20"/>
          <w:lang w:val="en-US" w:eastAsia="zh-CN"/>
        </w:rPr>
        <w:t xml:space="preserve"> This offset can be a default value or be configured by a UE-specific RRC parameter. However, RRC indication of offset may be more beneficial for </w:t>
      </w:r>
      <w:r>
        <w:rPr>
          <w:rFonts w:hint="default" w:ascii="Times New Roman" w:hAnsi="Times New Roman" w:cs="Times New Roman"/>
          <w:b w:val="0"/>
          <w:bCs w:val="0"/>
          <w:i w:val="0"/>
          <w:iCs w:val="0"/>
          <w:sz w:val="20"/>
          <w:szCs w:val="20"/>
          <w:lang w:val="en-US" w:eastAsia="zh-CN"/>
        </w:rPr>
        <w:t xml:space="preserve">power </w:t>
      </w:r>
      <w:r>
        <w:rPr>
          <w:rFonts w:hint="eastAsia" w:cs="Times New Roman"/>
          <w:b w:val="0"/>
          <w:bCs w:val="0"/>
          <w:i w:val="0"/>
          <w:iCs w:val="0"/>
          <w:sz w:val="20"/>
          <w:szCs w:val="20"/>
          <w:lang w:val="en-US" w:eastAsia="zh-CN"/>
        </w:rPr>
        <w:t xml:space="preserve">gap </w:t>
      </w:r>
      <w:r>
        <w:rPr>
          <w:rFonts w:hint="eastAsia" w:ascii="Times New Roman" w:hAnsi="Times New Roman" w:cs="Times New Roman"/>
          <w:sz w:val="20"/>
          <w:szCs w:val="20"/>
          <w:lang w:val="en-US" w:eastAsia="zh-CN"/>
        </w:rPr>
        <w:t xml:space="preserve">adjustment between QPSK and 16QAM since the value of </w:t>
      </w:r>
      <m:oMath>
        <m:sSub>
          <m:sSubPr>
            <m:ctrlPr>
              <w:rPr>
                <w:rFonts w:hint="default" w:ascii="Cambria Math" w:hAnsi="Cambria Math" w:cs="Times New Roman"/>
                <w:sz w:val="20"/>
                <w:szCs w:val="20"/>
              </w:rPr>
            </m:ctrlPr>
          </m:sSubPr>
          <m:e>
            <m:r>
              <m:rPr>
                <m:sty m:val="p"/>
              </m:rPr>
              <w:rPr>
                <w:rFonts w:hint="default" w:ascii="Cambria Math" w:hAnsi="Cambria Math" w:cs="Times New Roman"/>
                <w:sz w:val="20"/>
                <w:szCs w:val="20"/>
              </w:rPr>
              <m:t>∆</m:t>
            </m:r>
            <m:ctrlPr>
              <w:rPr>
                <w:rFonts w:hint="default" w:ascii="Cambria Math" w:hAnsi="Cambria Math" w:cs="Times New Roman"/>
                <w:sz w:val="20"/>
                <w:szCs w:val="20"/>
              </w:rPr>
            </m:ctrlPr>
          </m:e>
          <m:sub>
            <m:r>
              <w:rPr>
                <w:rFonts w:hint="default" w:ascii="Cambria Math" w:hAnsi="Cambria Math" w:cs="Times New Roman"/>
                <w:sz w:val="20"/>
                <w:szCs w:val="20"/>
              </w:rPr>
              <m:t>TF</m:t>
            </m:r>
            <m:r>
              <m:rPr>
                <m:sty m:val="p"/>
              </m:rPr>
              <w:rPr>
                <w:rFonts w:hint="default" w:ascii="Cambria Math" w:hAnsi="Cambria Math" w:cs="Times New Roman"/>
                <w:sz w:val="20"/>
                <w:szCs w:val="20"/>
              </w:rPr>
              <m:t>,</m:t>
            </m:r>
            <m:r>
              <w:rPr>
                <w:rFonts w:hint="default" w:ascii="Cambria Math" w:hAnsi="Cambria Math" w:cs="Times New Roman"/>
                <w:sz w:val="20"/>
                <w:szCs w:val="20"/>
              </w:rPr>
              <m:t>c</m:t>
            </m:r>
            <m:ctrlPr>
              <w:rPr>
                <w:rFonts w:hint="default" w:ascii="Cambria Math" w:hAnsi="Cambria Math" w:cs="Times New Roman"/>
                <w:sz w:val="20"/>
                <w:szCs w:val="20"/>
              </w:rPr>
            </m:ctrlPr>
          </m:sub>
        </m:sSub>
      </m:oMath>
      <w:r>
        <w:rPr>
          <w:rFonts w:hint="eastAsia" w:ascii="Cambria Math" w:hAnsi="Cambria Math" w:cs="Times New Roman"/>
          <w:i w:val="0"/>
          <w:sz w:val="20"/>
          <w:szCs w:val="20"/>
          <w:lang w:val="en-US" w:eastAsia="zh-CN"/>
        </w:rPr>
        <w:t xml:space="preserve"> </w:t>
      </w:r>
      <w:r>
        <w:rPr>
          <w:rFonts w:hint="eastAsia" w:ascii="Times New Roman" w:hAnsi="Times New Roman" w:eastAsia="Times New Roman" w:cs="Times New Roman"/>
          <w:bCs/>
          <w:sz w:val="20"/>
          <w:szCs w:val="20"/>
          <w:lang w:val="en-US" w:eastAsia="zh-CN"/>
        </w:rPr>
        <w:t xml:space="preserve">for </w:t>
      </w:r>
      <w:r>
        <w:rPr>
          <w:rFonts w:hint="eastAsia" w:eastAsia="Times New Roman" w:cs="Times New Roman"/>
          <w:bCs/>
          <w:sz w:val="20"/>
          <w:szCs w:val="20"/>
          <w:lang w:val="en-US" w:eastAsia="zh-CN"/>
        </w:rPr>
        <w:t xml:space="preserve">a given TBS index with </w:t>
      </w:r>
      <w:r>
        <w:rPr>
          <w:rFonts w:hint="eastAsia" w:ascii="Times New Roman" w:hAnsi="Times New Roman" w:eastAsia="Times New Roman" w:cs="Times New Roman"/>
          <w:bCs/>
          <w:sz w:val="20"/>
          <w:szCs w:val="20"/>
          <w:lang w:val="en-US" w:eastAsia="zh-CN"/>
        </w:rPr>
        <w:t xml:space="preserve">16QAM </w:t>
      </w:r>
      <w:r>
        <w:rPr>
          <w:rFonts w:hint="eastAsia" w:eastAsia="Times New Roman" w:cs="Times New Roman"/>
          <w:bCs/>
          <w:sz w:val="20"/>
          <w:szCs w:val="20"/>
          <w:lang w:val="en-US" w:eastAsia="zh-CN"/>
        </w:rPr>
        <w:t>depends on the number of RU for NPUS</w:t>
      </w:r>
      <w:bookmarkStart w:id="17" w:name="_GoBack"/>
      <w:bookmarkEnd w:id="17"/>
      <w:r>
        <w:rPr>
          <w:rFonts w:hint="eastAsia" w:eastAsia="Times New Roman" w:cs="Times New Roman"/>
          <w:bCs/>
          <w:sz w:val="20"/>
          <w:szCs w:val="20"/>
          <w:lang w:val="en-US" w:eastAsia="zh-CN"/>
        </w:rPr>
        <w:t xml:space="preserve">CH. From </w:t>
      </w:r>
      <w:r>
        <w:rPr>
          <w:rFonts w:hint="eastAsia" w:eastAsia="宋体" w:cs="Times New Roman"/>
          <w:bCs/>
          <w:sz w:val="20"/>
          <w:szCs w:val="20"/>
          <w:lang w:val="en-US" w:eastAsia="zh-CN"/>
        </w:rPr>
        <w:t>Table 1,</w:t>
      </w:r>
      <w:r>
        <w:rPr>
          <w:rFonts w:hint="eastAsia" w:eastAsia="Times New Roman" w:cs="Times New Roman"/>
          <w:bCs/>
          <w:sz w:val="20"/>
          <w:szCs w:val="20"/>
          <w:lang w:val="en-US" w:eastAsia="zh-CN"/>
        </w:rPr>
        <w:t xml:space="preserve"> it can be observed that the maximum power difference is larger than 1 dB between RU configurations. Meanwhile, </w:t>
      </w:r>
      <w:r>
        <w:rPr>
          <w:rFonts w:hint="eastAsia" w:ascii="Times New Roman" w:hAnsi="Times New Roman" w:cs="Times New Roman"/>
          <w:i w:val="0"/>
          <w:sz w:val="20"/>
          <w:szCs w:val="20"/>
          <w:lang w:val="en-US" w:eastAsia="zh-CN"/>
        </w:rPr>
        <w:t>t</w:t>
      </w:r>
      <w:r>
        <w:rPr>
          <w:rFonts w:hint="default" w:ascii="Times New Roman" w:hAnsi="Times New Roman" w:cs="Times New Roman"/>
          <w:i w:val="0"/>
          <w:sz w:val="20"/>
          <w:szCs w:val="20"/>
          <w:lang w:val="en-US" w:eastAsia="zh-CN"/>
        </w:rPr>
        <w:t>he semi-static indication of offset can also be used to match the channel environment</w:t>
      </w:r>
      <w:r>
        <w:rPr>
          <w:rFonts w:hint="eastAsia" w:ascii="Times New Roman" w:hAnsi="Times New Roman" w:cs="Times New Roman"/>
          <w:i w:val="0"/>
          <w:sz w:val="20"/>
          <w:szCs w:val="20"/>
          <w:lang w:val="en-US" w:eastAsia="zh-CN"/>
        </w:rPr>
        <w:t>.</w:t>
      </w:r>
    </w:p>
    <w:p>
      <w:pPr>
        <w:pStyle w:val="45"/>
        <w:keepNext w:val="0"/>
        <w:keepLines w:val="0"/>
        <w:pageBreakBefore w:val="0"/>
        <w:widowControl/>
        <w:numPr>
          <w:ilvl w:val="0"/>
          <w:numId w:val="0"/>
        </w:numPr>
        <w:kinsoku/>
        <w:wordWrap/>
        <w:overflowPunct/>
        <w:topLinePunct w:val="0"/>
        <w:autoSpaceDE w:val="0"/>
        <w:autoSpaceDN w:val="0"/>
        <w:bidi w:val="0"/>
        <w:adjustRightInd w:val="0"/>
        <w:snapToGrid w:val="0"/>
        <w:spacing w:line="240" w:lineRule="auto"/>
        <w:ind w:leftChars="0"/>
        <w:jc w:val="center"/>
        <w:textAlignment w:val="auto"/>
        <w:rPr>
          <w:rFonts w:hint="default" w:ascii="Times New Roman" w:hAnsi="Times New Roman" w:cs="Times New Roman" w:eastAsiaTheme="minorEastAsia"/>
          <w:i w:val="0"/>
          <w:color w:val="auto"/>
          <w:sz w:val="20"/>
          <w:szCs w:val="20"/>
          <w:lang w:val="en-US" w:eastAsia="zh-CN"/>
        </w:rPr>
      </w:pPr>
      <w:r>
        <w:rPr>
          <w:rFonts w:hint="default" w:ascii="Times New Roman" w:hAnsi="Times New Roman" w:cs="Times New Roman"/>
          <w:i w:val="0"/>
          <w:color w:val="auto"/>
          <w:sz w:val="20"/>
          <w:szCs w:val="20"/>
          <w:lang w:val="en-US" w:eastAsia="zh-CN"/>
        </w:rPr>
        <w:t xml:space="preserve">Table 1 </w:t>
      </w:r>
      <m:oMath>
        <m:sSub>
          <m:sSubPr>
            <m:ctrlPr>
              <w:rPr>
                <w:rFonts w:hint="default" w:ascii="Cambria Math" w:hAnsi="Cambria Math" w:cs="Times New Roman"/>
                <w:color w:val="auto"/>
                <w:sz w:val="20"/>
                <w:szCs w:val="20"/>
              </w:rPr>
            </m:ctrlPr>
          </m:sSubPr>
          <m:e>
            <m:r>
              <m:rPr>
                <m:sty m:val="p"/>
              </m:rPr>
              <w:rPr>
                <w:rFonts w:hint="default" w:ascii="Cambria Math" w:hAnsi="Cambria Math" w:cs="Times New Roman"/>
                <w:color w:val="auto"/>
                <w:sz w:val="20"/>
                <w:szCs w:val="20"/>
              </w:rPr>
              <m:t>∆</m:t>
            </m:r>
            <m:ctrlPr>
              <w:rPr>
                <w:rFonts w:hint="default" w:ascii="Cambria Math" w:hAnsi="Cambria Math" w:cs="Times New Roman"/>
                <w:color w:val="auto"/>
                <w:sz w:val="20"/>
                <w:szCs w:val="20"/>
              </w:rPr>
            </m:ctrlPr>
          </m:e>
          <m:sub>
            <m:r>
              <w:rPr>
                <w:rFonts w:hint="default" w:ascii="Cambria Math" w:hAnsi="Cambria Math" w:cs="Times New Roman"/>
                <w:color w:val="auto"/>
                <w:sz w:val="20"/>
                <w:szCs w:val="20"/>
              </w:rPr>
              <m:t>TF</m:t>
            </m:r>
            <m:r>
              <m:rPr>
                <m:sty m:val="p"/>
              </m:rPr>
              <w:rPr>
                <w:rFonts w:hint="default" w:ascii="Cambria Math" w:hAnsi="Cambria Math" w:cs="Times New Roman"/>
                <w:color w:val="auto"/>
                <w:sz w:val="20"/>
                <w:szCs w:val="20"/>
              </w:rPr>
              <m:t>,</m:t>
            </m:r>
            <m:r>
              <w:rPr>
                <w:rFonts w:hint="default" w:ascii="Cambria Math" w:hAnsi="Cambria Math" w:cs="Times New Roman"/>
                <w:color w:val="auto"/>
                <w:sz w:val="20"/>
                <w:szCs w:val="20"/>
              </w:rPr>
              <m:t>c</m:t>
            </m:r>
            <m:ctrlPr>
              <w:rPr>
                <w:rFonts w:hint="default" w:ascii="Cambria Math" w:hAnsi="Cambria Math" w:cs="Times New Roman"/>
                <w:color w:val="auto"/>
                <w:sz w:val="20"/>
                <w:szCs w:val="20"/>
              </w:rPr>
            </m:ctrlPr>
          </m:sub>
        </m:sSub>
      </m:oMath>
      <w:r>
        <w:rPr>
          <w:rFonts w:hint="default" w:ascii="Times New Roman" w:hAnsi="Times New Roman" w:cs="Times New Roman"/>
          <w:i w:val="0"/>
          <w:color w:val="auto"/>
          <w:sz w:val="20"/>
          <w:szCs w:val="20"/>
          <w:lang w:val="en-US" w:eastAsia="zh-CN"/>
        </w:rPr>
        <w:t xml:space="preserve"> for TBS 14 with 16QAM for NPUSCH</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7"/>
        <w:gridCol w:w="827"/>
        <w:gridCol w:w="858"/>
        <w:gridCol w:w="853"/>
        <w:gridCol w:w="889"/>
        <w:gridCol w:w="854"/>
        <w:gridCol w:w="854"/>
        <w:gridCol w:w="877"/>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7" w:type="dxa"/>
            <w:vAlign w:val="center"/>
          </w:tcPr>
          <w:p>
            <w:pPr>
              <w:pStyle w:val="45"/>
              <w:keepNext w:val="0"/>
              <w:keepLines w:val="0"/>
              <w:pageBreakBefore w:val="0"/>
              <w:widowControl/>
              <w:numPr>
                <w:ilvl w:val="0"/>
                <w:numId w:val="0"/>
              </w:numPr>
              <w:suppressLineNumbers w:val="0"/>
              <w:kinsoku/>
              <w:wordWrap/>
              <w:overflowPunct/>
              <w:topLinePunct w:val="0"/>
              <w:autoSpaceDE w:val="0"/>
              <w:autoSpaceDN w:val="0"/>
              <w:bidi w:val="0"/>
              <w:adjustRightInd w:val="0"/>
              <w:snapToGrid w:val="0"/>
              <w:spacing w:before="0" w:beforeAutospacing="0" w:afterAutospacing="0"/>
              <w:ind w:left="0" w:right="0"/>
              <w:jc w:val="center"/>
              <w:textAlignment w:val="auto"/>
              <w:rPr>
                <w:rFonts w:hint="default" w:ascii="Times New Roman" w:hAnsi="Times New Roman" w:cs="Times New Roman" w:eastAsiaTheme="minorEastAsia"/>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I_RU</w:t>
            </w:r>
          </w:p>
        </w:tc>
        <w:tc>
          <w:tcPr>
            <w:tcW w:w="827" w:type="dxa"/>
            <w:vAlign w:val="center"/>
          </w:tcPr>
          <w:p>
            <w:pPr>
              <w:pStyle w:val="45"/>
              <w:keepNext w:val="0"/>
              <w:keepLines w:val="0"/>
              <w:pageBreakBefore w:val="0"/>
              <w:widowControl/>
              <w:numPr>
                <w:ilvl w:val="0"/>
                <w:numId w:val="0"/>
              </w:numPr>
              <w:suppressLineNumbers w:val="0"/>
              <w:kinsoku/>
              <w:wordWrap/>
              <w:overflowPunct/>
              <w:topLinePunct w:val="0"/>
              <w:autoSpaceDE w:val="0"/>
              <w:autoSpaceDN w:val="0"/>
              <w:bidi w:val="0"/>
              <w:adjustRightInd w:val="0"/>
              <w:snapToGrid w:val="0"/>
              <w:spacing w:before="0" w:beforeAutospacing="0" w:afterAutospacing="0"/>
              <w:ind w:left="0" w:right="0"/>
              <w:jc w:val="center"/>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0</w:t>
            </w:r>
          </w:p>
        </w:tc>
        <w:tc>
          <w:tcPr>
            <w:tcW w:w="858" w:type="dxa"/>
            <w:vAlign w:val="center"/>
          </w:tcPr>
          <w:p>
            <w:pPr>
              <w:pStyle w:val="45"/>
              <w:keepNext w:val="0"/>
              <w:keepLines w:val="0"/>
              <w:pageBreakBefore w:val="0"/>
              <w:widowControl/>
              <w:numPr>
                <w:ilvl w:val="0"/>
                <w:numId w:val="0"/>
              </w:numPr>
              <w:suppressLineNumbers w:val="0"/>
              <w:kinsoku/>
              <w:wordWrap/>
              <w:overflowPunct/>
              <w:topLinePunct w:val="0"/>
              <w:autoSpaceDE w:val="0"/>
              <w:autoSpaceDN w:val="0"/>
              <w:bidi w:val="0"/>
              <w:adjustRightInd w:val="0"/>
              <w:snapToGrid w:val="0"/>
              <w:spacing w:before="0" w:beforeAutospacing="0" w:afterAutospacing="0"/>
              <w:ind w:left="0" w:right="0"/>
              <w:jc w:val="center"/>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1</w:t>
            </w:r>
          </w:p>
        </w:tc>
        <w:tc>
          <w:tcPr>
            <w:tcW w:w="853" w:type="dxa"/>
            <w:vAlign w:val="center"/>
          </w:tcPr>
          <w:p>
            <w:pPr>
              <w:pStyle w:val="45"/>
              <w:keepNext w:val="0"/>
              <w:keepLines w:val="0"/>
              <w:pageBreakBefore w:val="0"/>
              <w:widowControl/>
              <w:numPr>
                <w:ilvl w:val="0"/>
                <w:numId w:val="0"/>
              </w:numPr>
              <w:suppressLineNumbers w:val="0"/>
              <w:kinsoku/>
              <w:wordWrap/>
              <w:overflowPunct/>
              <w:topLinePunct w:val="0"/>
              <w:autoSpaceDE w:val="0"/>
              <w:autoSpaceDN w:val="0"/>
              <w:bidi w:val="0"/>
              <w:adjustRightInd w:val="0"/>
              <w:snapToGrid w:val="0"/>
              <w:spacing w:before="0" w:beforeAutospacing="0" w:afterAutospacing="0"/>
              <w:ind w:left="0" w:right="0"/>
              <w:jc w:val="center"/>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2</w:t>
            </w:r>
          </w:p>
        </w:tc>
        <w:tc>
          <w:tcPr>
            <w:tcW w:w="889" w:type="dxa"/>
            <w:vAlign w:val="center"/>
          </w:tcPr>
          <w:p>
            <w:pPr>
              <w:pStyle w:val="45"/>
              <w:keepNext w:val="0"/>
              <w:keepLines w:val="0"/>
              <w:pageBreakBefore w:val="0"/>
              <w:widowControl/>
              <w:numPr>
                <w:ilvl w:val="0"/>
                <w:numId w:val="0"/>
              </w:numPr>
              <w:suppressLineNumbers w:val="0"/>
              <w:kinsoku/>
              <w:wordWrap/>
              <w:overflowPunct/>
              <w:topLinePunct w:val="0"/>
              <w:autoSpaceDE w:val="0"/>
              <w:autoSpaceDN w:val="0"/>
              <w:bidi w:val="0"/>
              <w:adjustRightInd w:val="0"/>
              <w:snapToGrid w:val="0"/>
              <w:spacing w:before="0" w:beforeAutospacing="0" w:afterAutospacing="0"/>
              <w:ind w:left="0" w:right="0"/>
              <w:jc w:val="center"/>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3</w:t>
            </w:r>
          </w:p>
        </w:tc>
        <w:tc>
          <w:tcPr>
            <w:tcW w:w="854" w:type="dxa"/>
            <w:vAlign w:val="center"/>
          </w:tcPr>
          <w:p>
            <w:pPr>
              <w:pStyle w:val="45"/>
              <w:keepNext w:val="0"/>
              <w:keepLines w:val="0"/>
              <w:pageBreakBefore w:val="0"/>
              <w:widowControl/>
              <w:numPr>
                <w:ilvl w:val="0"/>
                <w:numId w:val="0"/>
              </w:numPr>
              <w:suppressLineNumbers w:val="0"/>
              <w:kinsoku/>
              <w:wordWrap/>
              <w:overflowPunct/>
              <w:topLinePunct w:val="0"/>
              <w:autoSpaceDE w:val="0"/>
              <w:autoSpaceDN w:val="0"/>
              <w:bidi w:val="0"/>
              <w:adjustRightInd w:val="0"/>
              <w:snapToGrid w:val="0"/>
              <w:spacing w:before="0" w:beforeAutospacing="0" w:afterAutospacing="0"/>
              <w:ind w:left="0" w:right="0"/>
              <w:jc w:val="center"/>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4</w:t>
            </w:r>
          </w:p>
        </w:tc>
        <w:tc>
          <w:tcPr>
            <w:tcW w:w="854" w:type="dxa"/>
            <w:vAlign w:val="center"/>
          </w:tcPr>
          <w:p>
            <w:pPr>
              <w:pStyle w:val="45"/>
              <w:keepNext w:val="0"/>
              <w:keepLines w:val="0"/>
              <w:pageBreakBefore w:val="0"/>
              <w:widowControl/>
              <w:numPr>
                <w:ilvl w:val="0"/>
                <w:numId w:val="0"/>
              </w:numPr>
              <w:suppressLineNumbers w:val="0"/>
              <w:kinsoku/>
              <w:wordWrap/>
              <w:overflowPunct/>
              <w:topLinePunct w:val="0"/>
              <w:autoSpaceDE w:val="0"/>
              <w:autoSpaceDN w:val="0"/>
              <w:bidi w:val="0"/>
              <w:adjustRightInd w:val="0"/>
              <w:snapToGrid w:val="0"/>
              <w:spacing w:before="0" w:beforeAutospacing="0" w:afterAutospacing="0"/>
              <w:ind w:left="0" w:right="0"/>
              <w:jc w:val="center"/>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5</w:t>
            </w:r>
          </w:p>
        </w:tc>
        <w:tc>
          <w:tcPr>
            <w:tcW w:w="877" w:type="dxa"/>
            <w:vAlign w:val="center"/>
          </w:tcPr>
          <w:p>
            <w:pPr>
              <w:pStyle w:val="45"/>
              <w:keepNext w:val="0"/>
              <w:keepLines w:val="0"/>
              <w:pageBreakBefore w:val="0"/>
              <w:widowControl/>
              <w:numPr>
                <w:ilvl w:val="0"/>
                <w:numId w:val="0"/>
              </w:numPr>
              <w:suppressLineNumbers w:val="0"/>
              <w:kinsoku/>
              <w:wordWrap/>
              <w:overflowPunct/>
              <w:topLinePunct w:val="0"/>
              <w:autoSpaceDE w:val="0"/>
              <w:autoSpaceDN w:val="0"/>
              <w:bidi w:val="0"/>
              <w:adjustRightInd w:val="0"/>
              <w:snapToGrid w:val="0"/>
              <w:spacing w:before="0" w:beforeAutospacing="0" w:afterAutospacing="0"/>
              <w:ind w:left="0" w:right="0"/>
              <w:jc w:val="center"/>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6</w:t>
            </w:r>
          </w:p>
        </w:tc>
        <w:tc>
          <w:tcPr>
            <w:tcW w:w="819" w:type="dxa"/>
            <w:vAlign w:val="center"/>
          </w:tcPr>
          <w:p>
            <w:pPr>
              <w:pStyle w:val="45"/>
              <w:keepNext w:val="0"/>
              <w:keepLines w:val="0"/>
              <w:pageBreakBefore w:val="0"/>
              <w:widowControl/>
              <w:numPr>
                <w:ilvl w:val="0"/>
                <w:numId w:val="0"/>
              </w:numPr>
              <w:suppressLineNumbers w:val="0"/>
              <w:kinsoku/>
              <w:wordWrap/>
              <w:overflowPunct/>
              <w:topLinePunct w:val="0"/>
              <w:autoSpaceDE w:val="0"/>
              <w:autoSpaceDN w:val="0"/>
              <w:bidi w:val="0"/>
              <w:adjustRightInd w:val="0"/>
              <w:snapToGrid w:val="0"/>
              <w:spacing w:before="0" w:beforeAutospacing="0" w:afterAutospacing="0"/>
              <w:ind w:left="0" w:right="0"/>
              <w:jc w:val="center"/>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7" w:type="dxa"/>
            <w:vAlign w:val="center"/>
          </w:tcPr>
          <w:p>
            <w:pPr>
              <w:pStyle w:val="45"/>
              <w:keepNext w:val="0"/>
              <w:keepLines w:val="0"/>
              <w:pageBreakBefore w:val="0"/>
              <w:widowControl/>
              <w:numPr>
                <w:ilvl w:val="0"/>
                <w:numId w:val="0"/>
              </w:numPr>
              <w:suppressLineNumbers w:val="0"/>
              <w:kinsoku/>
              <w:wordWrap/>
              <w:overflowPunct/>
              <w:topLinePunct w:val="0"/>
              <w:autoSpaceDE w:val="0"/>
              <w:autoSpaceDN w:val="0"/>
              <w:bidi w:val="0"/>
              <w:adjustRightInd w:val="0"/>
              <w:snapToGrid w:val="0"/>
              <w:spacing w:before="0" w:beforeAutospacing="0" w:afterAutospacing="0"/>
              <w:ind w:left="0" w:right="0"/>
              <w:jc w:val="center"/>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Number of bits</w:t>
            </w:r>
          </w:p>
        </w:tc>
        <w:tc>
          <w:tcPr>
            <w:tcW w:w="827" w:type="dxa"/>
            <w:vAlign w:val="center"/>
          </w:tcPr>
          <w:p>
            <w:pPr>
              <w:keepNext w:val="0"/>
              <w:keepLines w:val="0"/>
              <w:widowControl w:val="0"/>
              <w:suppressLineNumbers w:val="0"/>
              <w:overflowPunct w:val="0"/>
              <w:spacing w:before="0" w:beforeAutospacing="0" w:afterAutospacing="0"/>
              <w:ind w:left="0" w:right="0"/>
              <w:jc w:val="center"/>
              <w:rPr>
                <w:rFonts w:hint="default" w:ascii="Times New Roman" w:hAnsi="Times New Roman" w:cs="Times New Roman" w:eastAsiaTheme="minorEastAsia"/>
                <w:color w:val="auto"/>
                <w:sz w:val="20"/>
                <w:szCs w:val="20"/>
                <w:lang w:val="en-US" w:eastAsia="zh-CN" w:bidi="ar-SA"/>
              </w:rPr>
            </w:pPr>
            <w:r>
              <w:rPr>
                <w:rFonts w:hint="default" w:ascii="Times New Roman" w:hAnsi="Times New Roman" w:cs="Times New Roman"/>
                <w:color w:val="auto"/>
                <w:sz w:val="20"/>
                <w:szCs w:val="20"/>
                <w:lang w:eastAsia="en-GB"/>
              </w:rPr>
              <w:t>256</w:t>
            </w:r>
          </w:p>
        </w:tc>
        <w:tc>
          <w:tcPr>
            <w:tcW w:w="858" w:type="dxa"/>
            <w:vAlign w:val="center"/>
          </w:tcPr>
          <w:p>
            <w:pPr>
              <w:keepNext w:val="0"/>
              <w:keepLines w:val="0"/>
              <w:widowControl w:val="0"/>
              <w:suppressLineNumbers w:val="0"/>
              <w:overflowPunct w:val="0"/>
              <w:spacing w:before="0" w:beforeAutospacing="0" w:afterAutospacing="0"/>
              <w:ind w:left="0" w:right="0"/>
              <w:jc w:val="center"/>
              <w:rPr>
                <w:rFonts w:hint="default" w:ascii="Times New Roman" w:hAnsi="Times New Roman" w:cs="Times New Roman" w:eastAsiaTheme="minorEastAsia"/>
                <w:color w:val="auto"/>
                <w:sz w:val="20"/>
                <w:szCs w:val="20"/>
                <w:lang w:val="en-US" w:eastAsia="zh-CN" w:bidi="ar-SA"/>
              </w:rPr>
            </w:pPr>
            <w:r>
              <w:rPr>
                <w:rFonts w:hint="default" w:ascii="Times New Roman" w:hAnsi="Times New Roman" w:cs="Times New Roman"/>
                <w:color w:val="auto"/>
                <w:sz w:val="20"/>
                <w:szCs w:val="20"/>
                <w:lang w:eastAsia="en-GB"/>
              </w:rPr>
              <w:t>552</w:t>
            </w:r>
          </w:p>
        </w:tc>
        <w:tc>
          <w:tcPr>
            <w:tcW w:w="853" w:type="dxa"/>
            <w:vAlign w:val="center"/>
          </w:tcPr>
          <w:p>
            <w:pPr>
              <w:keepNext w:val="0"/>
              <w:keepLines w:val="0"/>
              <w:widowControl w:val="0"/>
              <w:suppressLineNumbers w:val="0"/>
              <w:overflowPunct w:val="0"/>
              <w:spacing w:before="0" w:beforeAutospacing="0" w:afterAutospacing="0"/>
              <w:ind w:left="0" w:right="0"/>
              <w:jc w:val="center"/>
              <w:rPr>
                <w:rFonts w:hint="default" w:ascii="Times New Roman" w:hAnsi="Times New Roman" w:cs="Times New Roman" w:eastAsiaTheme="minorEastAsia"/>
                <w:color w:val="auto"/>
                <w:sz w:val="20"/>
                <w:szCs w:val="20"/>
                <w:lang w:val="en-US" w:eastAsia="zh-CN" w:bidi="ar-SA"/>
              </w:rPr>
            </w:pPr>
            <w:r>
              <w:rPr>
                <w:rFonts w:hint="default" w:ascii="Times New Roman" w:hAnsi="Times New Roman" w:cs="Times New Roman"/>
                <w:color w:val="auto"/>
                <w:sz w:val="20"/>
                <w:szCs w:val="20"/>
                <w:lang w:eastAsia="en-GB"/>
              </w:rPr>
              <w:t>840</w:t>
            </w:r>
          </w:p>
        </w:tc>
        <w:tc>
          <w:tcPr>
            <w:tcW w:w="889" w:type="dxa"/>
            <w:vAlign w:val="center"/>
          </w:tcPr>
          <w:p>
            <w:pPr>
              <w:keepNext w:val="0"/>
              <w:keepLines w:val="0"/>
              <w:widowControl w:val="0"/>
              <w:suppressLineNumbers w:val="0"/>
              <w:overflowPunct w:val="0"/>
              <w:spacing w:before="0" w:beforeAutospacing="0" w:afterAutospacing="0"/>
              <w:ind w:left="0" w:right="0"/>
              <w:jc w:val="center"/>
              <w:rPr>
                <w:rFonts w:hint="default" w:ascii="Times New Roman" w:hAnsi="Times New Roman" w:cs="Times New Roman" w:eastAsiaTheme="minorEastAsia"/>
                <w:color w:val="auto"/>
                <w:sz w:val="20"/>
                <w:szCs w:val="20"/>
                <w:lang w:val="en-US" w:eastAsia="zh-CN" w:bidi="ar-SA"/>
              </w:rPr>
            </w:pPr>
            <w:r>
              <w:rPr>
                <w:rFonts w:hint="default" w:ascii="Times New Roman" w:hAnsi="Times New Roman" w:cs="Times New Roman"/>
                <w:color w:val="auto"/>
                <w:sz w:val="20"/>
                <w:szCs w:val="20"/>
                <w:lang w:eastAsia="en-GB"/>
              </w:rPr>
              <w:t>1128</w:t>
            </w:r>
          </w:p>
        </w:tc>
        <w:tc>
          <w:tcPr>
            <w:tcW w:w="854" w:type="dxa"/>
            <w:vAlign w:val="center"/>
          </w:tcPr>
          <w:p>
            <w:pPr>
              <w:keepNext w:val="0"/>
              <w:keepLines w:val="0"/>
              <w:widowControl w:val="0"/>
              <w:suppressLineNumbers w:val="0"/>
              <w:overflowPunct w:val="0"/>
              <w:spacing w:before="0" w:beforeAutospacing="0" w:afterAutospacing="0"/>
              <w:ind w:left="0" w:right="0"/>
              <w:jc w:val="center"/>
              <w:rPr>
                <w:rFonts w:hint="default" w:ascii="Times New Roman" w:hAnsi="Times New Roman" w:cs="Times New Roman" w:eastAsiaTheme="minorEastAsia"/>
                <w:color w:val="auto"/>
                <w:sz w:val="20"/>
                <w:szCs w:val="20"/>
                <w:lang w:val="en-US" w:eastAsia="zh-CN" w:bidi="ar-SA"/>
              </w:rPr>
            </w:pPr>
            <w:r>
              <w:rPr>
                <w:rFonts w:hint="default" w:ascii="Times New Roman" w:hAnsi="Times New Roman" w:cs="Times New Roman"/>
                <w:color w:val="auto"/>
                <w:sz w:val="20"/>
                <w:szCs w:val="20"/>
                <w:lang w:eastAsia="en-GB"/>
              </w:rPr>
              <w:t>1416</w:t>
            </w:r>
          </w:p>
        </w:tc>
        <w:tc>
          <w:tcPr>
            <w:tcW w:w="854" w:type="dxa"/>
            <w:vAlign w:val="center"/>
          </w:tcPr>
          <w:p>
            <w:pPr>
              <w:keepNext w:val="0"/>
              <w:keepLines w:val="0"/>
              <w:widowControl w:val="0"/>
              <w:suppressLineNumbers w:val="0"/>
              <w:overflowPunct w:val="0"/>
              <w:spacing w:before="0" w:beforeAutospacing="0" w:afterAutospacing="0"/>
              <w:ind w:left="0" w:right="0"/>
              <w:jc w:val="center"/>
              <w:rPr>
                <w:rFonts w:hint="default" w:ascii="Times New Roman" w:hAnsi="Times New Roman" w:cs="Times New Roman" w:eastAsiaTheme="minorEastAsia"/>
                <w:color w:val="auto"/>
                <w:sz w:val="20"/>
                <w:szCs w:val="20"/>
                <w:lang w:val="en-US" w:eastAsia="zh-CN" w:bidi="ar-SA"/>
              </w:rPr>
            </w:pPr>
            <w:r>
              <w:rPr>
                <w:rFonts w:hint="default" w:ascii="Times New Roman" w:hAnsi="Times New Roman" w:cs="Times New Roman"/>
                <w:color w:val="auto"/>
                <w:sz w:val="20"/>
                <w:szCs w:val="20"/>
                <w:lang w:eastAsia="en-GB"/>
              </w:rPr>
              <w:t>1736</w:t>
            </w:r>
          </w:p>
        </w:tc>
        <w:tc>
          <w:tcPr>
            <w:tcW w:w="877" w:type="dxa"/>
            <w:vAlign w:val="center"/>
          </w:tcPr>
          <w:p>
            <w:pPr>
              <w:keepNext w:val="0"/>
              <w:keepLines w:val="0"/>
              <w:widowControl w:val="0"/>
              <w:suppressLineNumbers w:val="0"/>
              <w:overflowPunct w:val="0"/>
              <w:spacing w:before="0" w:beforeAutospacing="0" w:afterAutospacing="0"/>
              <w:ind w:left="0" w:right="0"/>
              <w:jc w:val="center"/>
              <w:rPr>
                <w:rFonts w:hint="default" w:ascii="Times New Roman" w:hAnsi="Times New Roman" w:cs="Times New Roman" w:eastAsiaTheme="minorEastAsia"/>
                <w:color w:val="auto"/>
                <w:sz w:val="20"/>
                <w:szCs w:val="20"/>
                <w:lang w:val="en-US" w:eastAsia="zh-CN" w:bidi="ar-SA"/>
              </w:rPr>
            </w:pPr>
            <w:r>
              <w:rPr>
                <w:rFonts w:hint="default" w:ascii="Times New Roman" w:hAnsi="Times New Roman" w:cs="Times New Roman"/>
                <w:color w:val="auto"/>
                <w:sz w:val="20"/>
                <w:szCs w:val="20"/>
                <w:lang w:eastAsia="en-GB"/>
              </w:rPr>
              <w:t>2280</w:t>
            </w:r>
          </w:p>
        </w:tc>
        <w:tc>
          <w:tcPr>
            <w:tcW w:w="819" w:type="dxa"/>
            <w:vAlign w:val="center"/>
          </w:tcPr>
          <w:p>
            <w:pPr>
              <w:pStyle w:val="45"/>
              <w:keepNext w:val="0"/>
              <w:keepLines w:val="0"/>
              <w:pageBreakBefore w:val="0"/>
              <w:widowControl/>
              <w:numPr>
                <w:ilvl w:val="0"/>
                <w:numId w:val="0"/>
              </w:numPr>
              <w:suppressLineNumbers w:val="0"/>
              <w:kinsoku/>
              <w:wordWrap/>
              <w:overflowPunct/>
              <w:topLinePunct w:val="0"/>
              <w:autoSpaceDE w:val="0"/>
              <w:autoSpaceDN w:val="0"/>
              <w:bidi w:val="0"/>
              <w:adjustRightInd w:val="0"/>
              <w:snapToGrid w:val="0"/>
              <w:spacing w:before="0" w:beforeAutospacing="0" w:afterAutospacing="0"/>
              <w:ind w:left="0" w:right="0"/>
              <w:jc w:val="center"/>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7" w:type="dxa"/>
            <w:vAlign w:val="center"/>
          </w:tcPr>
          <w:p>
            <w:pPr>
              <w:pStyle w:val="45"/>
              <w:keepNext w:val="0"/>
              <w:keepLines w:val="0"/>
              <w:pageBreakBefore w:val="0"/>
              <w:widowControl/>
              <w:numPr>
                <w:ilvl w:val="0"/>
                <w:numId w:val="0"/>
              </w:numPr>
              <w:suppressLineNumbers w:val="0"/>
              <w:kinsoku/>
              <w:wordWrap/>
              <w:overflowPunct/>
              <w:topLinePunct w:val="0"/>
              <w:autoSpaceDE w:val="0"/>
              <w:autoSpaceDN w:val="0"/>
              <w:bidi w:val="0"/>
              <w:adjustRightInd w:val="0"/>
              <w:snapToGrid w:val="0"/>
              <w:spacing w:before="0" w:beforeAutospacing="0" w:afterAutospacing="0"/>
              <w:ind w:left="0" w:right="0"/>
              <w:jc w:val="center"/>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 xml:space="preserve">Value of </w:t>
            </w:r>
            <m:oMath>
              <m:sSub>
                <m:sSubPr>
                  <m:ctrlPr>
                    <w:rPr>
                      <w:rFonts w:hint="default" w:ascii="Cambria Math" w:hAnsi="Cambria Math" w:cs="Times New Roman"/>
                      <w:color w:val="auto"/>
                      <w:sz w:val="20"/>
                      <w:szCs w:val="20"/>
                    </w:rPr>
                  </m:ctrlPr>
                </m:sSubPr>
                <m:e>
                  <m:r>
                    <m:rPr>
                      <m:sty m:val="p"/>
                    </m:rPr>
                    <w:rPr>
                      <w:rFonts w:hint="default" w:ascii="Cambria Math" w:hAnsi="Cambria Math" w:cs="Times New Roman"/>
                      <w:color w:val="auto"/>
                      <w:sz w:val="20"/>
                      <w:szCs w:val="20"/>
                    </w:rPr>
                    <m:t>∆</m:t>
                  </m:r>
                  <m:ctrlPr>
                    <w:rPr>
                      <w:rFonts w:hint="default" w:ascii="Cambria Math" w:hAnsi="Cambria Math" w:cs="Times New Roman"/>
                      <w:color w:val="auto"/>
                      <w:sz w:val="20"/>
                      <w:szCs w:val="20"/>
                    </w:rPr>
                  </m:ctrlPr>
                </m:e>
                <m:sub>
                  <m:r>
                    <w:rPr>
                      <w:rFonts w:hint="default" w:ascii="Cambria Math" w:hAnsi="Cambria Math" w:cs="Times New Roman"/>
                      <w:color w:val="auto"/>
                      <w:sz w:val="20"/>
                      <w:szCs w:val="20"/>
                    </w:rPr>
                    <m:t>TF</m:t>
                  </m:r>
                  <m:r>
                    <m:rPr>
                      <m:sty m:val="p"/>
                    </m:rPr>
                    <w:rPr>
                      <w:rFonts w:hint="default" w:ascii="Cambria Math" w:hAnsi="Cambria Math" w:cs="Times New Roman"/>
                      <w:color w:val="auto"/>
                      <w:sz w:val="20"/>
                      <w:szCs w:val="20"/>
                    </w:rPr>
                    <m:t>,</m:t>
                  </m:r>
                  <m:r>
                    <w:rPr>
                      <w:rFonts w:hint="default" w:ascii="Cambria Math" w:hAnsi="Cambria Math" w:cs="Times New Roman"/>
                      <w:color w:val="auto"/>
                      <w:sz w:val="20"/>
                      <w:szCs w:val="20"/>
                    </w:rPr>
                    <m:t>c</m:t>
                  </m:r>
                  <m:ctrlPr>
                    <w:rPr>
                      <w:rFonts w:hint="default" w:ascii="Cambria Math" w:hAnsi="Cambria Math" w:cs="Times New Roman"/>
                      <w:color w:val="auto"/>
                      <w:sz w:val="20"/>
                      <w:szCs w:val="20"/>
                    </w:rPr>
                  </m:ctrlPr>
                </m:sub>
              </m:sSub>
            </m:oMath>
          </w:p>
        </w:tc>
        <w:tc>
          <w:tcPr>
            <w:tcW w:w="827" w:type="dxa"/>
            <w:vAlign w:val="center"/>
          </w:tcPr>
          <w:p>
            <w:pPr>
              <w:pStyle w:val="45"/>
              <w:keepNext w:val="0"/>
              <w:keepLines w:val="0"/>
              <w:pageBreakBefore w:val="0"/>
              <w:widowControl/>
              <w:numPr>
                <w:ilvl w:val="0"/>
                <w:numId w:val="0"/>
              </w:numPr>
              <w:suppressLineNumbers w:val="0"/>
              <w:kinsoku/>
              <w:wordWrap/>
              <w:overflowPunct/>
              <w:topLinePunct w:val="0"/>
              <w:autoSpaceDE w:val="0"/>
              <w:autoSpaceDN w:val="0"/>
              <w:bidi w:val="0"/>
              <w:adjustRightInd w:val="0"/>
              <w:snapToGrid w:val="0"/>
              <w:spacing w:before="0" w:beforeAutospacing="0" w:afterAutospacing="0"/>
              <w:ind w:left="0" w:right="0"/>
              <w:jc w:val="center"/>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5.6</w:t>
            </w:r>
          </w:p>
        </w:tc>
        <w:tc>
          <w:tcPr>
            <w:tcW w:w="858" w:type="dxa"/>
            <w:vAlign w:val="center"/>
          </w:tcPr>
          <w:p>
            <w:pPr>
              <w:pStyle w:val="45"/>
              <w:keepNext w:val="0"/>
              <w:keepLines w:val="0"/>
              <w:pageBreakBefore w:val="0"/>
              <w:widowControl/>
              <w:numPr>
                <w:ilvl w:val="0"/>
                <w:numId w:val="0"/>
              </w:numPr>
              <w:suppressLineNumbers w:val="0"/>
              <w:kinsoku/>
              <w:wordWrap/>
              <w:overflowPunct/>
              <w:topLinePunct w:val="0"/>
              <w:autoSpaceDE w:val="0"/>
              <w:autoSpaceDN w:val="0"/>
              <w:bidi w:val="0"/>
              <w:adjustRightInd w:val="0"/>
              <w:snapToGrid w:val="0"/>
              <w:spacing w:before="0" w:beforeAutospacing="0" w:afterAutospacing="0"/>
              <w:ind w:left="0" w:right="0"/>
              <w:jc w:val="center"/>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6.3</w:t>
            </w:r>
          </w:p>
        </w:tc>
        <w:tc>
          <w:tcPr>
            <w:tcW w:w="853" w:type="dxa"/>
            <w:vAlign w:val="center"/>
          </w:tcPr>
          <w:p>
            <w:pPr>
              <w:pStyle w:val="45"/>
              <w:keepNext w:val="0"/>
              <w:keepLines w:val="0"/>
              <w:pageBreakBefore w:val="0"/>
              <w:widowControl/>
              <w:numPr>
                <w:ilvl w:val="0"/>
                <w:numId w:val="0"/>
              </w:numPr>
              <w:suppressLineNumbers w:val="0"/>
              <w:kinsoku/>
              <w:wordWrap/>
              <w:overflowPunct/>
              <w:topLinePunct w:val="0"/>
              <w:autoSpaceDE w:val="0"/>
              <w:autoSpaceDN w:val="0"/>
              <w:bidi w:val="0"/>
              <w:adjustRightInd w:val="0"/>
              <w:snapToGrid w:val="0"/>
              <w:spacing w:before="0" w:beforeAutospacing="0" w:afterAutospacing="0"/>
              <w:ind w:left="0" w:right="0"/>
              <w:jc w:val="center"/>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6.4</w:t>
            </w:r>
          </w:p>
        </w:tc>
        <w:tc>
          <w:tcPr>
            <w:tcW w:w="889" w:type="dxa"/>
            <w:vAlign w:val="center"/>
          </w:tcPr>
          <w:p>
            <w:pPr>
              <w:pStyle w:val="45"/>
              <w:keepNext w:val="0"/>
              <w:keepLines w:val="0"/>
              <w:pageBreakBefore w:val="0"/>
              <w:widowControl/>
              <w:numPr>
                <w:ilvl w:val="0"/>
                <w:numId w:val="0"/>
              </w:numPr>
              <w:suppressLineNumbers w:val="0"/>
              <w:kinsoku/>
              <w:wordWrap/>
              <w:overflowPunct/>
              <w:topLinePunct w:val="0"/>
              <w:autoSpaceDE w:val="0"/>
              <w:autoSpaceDN w:val="0"/>
              <w:bidi w:val="0"/>
              <w:adjustRightInd w:val="0"/>
              <w:snapToGrid w:val="0"/>
              <w:spacing w:before="0" w:beforeAutospacing="0" w:afterAutospacing="0"/>
              <w:ind w:left="0" w:right="0"/>
              <w:jc w:val="center"/>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6.5</w:t>
            </w:r>
          </w:p>
        </w:tc>
        <w:tc>
          <w:tcPr>
            <w:tcW w:w="854" w:type="dxa"/>
            <w:vAlign w:val="center"/>
          </w:tcPr>
          <w:p>
            <w:pPr>
              <w:pStyle w:val="45"/>
              <w:keepNext w:val="0"/>
              <w:keepLines w:val="0"/>
              <w:pageBreakBefore w:val="0"/>
              <w:widowControl/>
              <w:numPr>
                <w:ilvl w:val="0"/>
                <w:numId w:val="0"/>
              </w:numPr>
              <w:suppressLineNumbers w:val="0"/>
              <w:kinsoku/>
              <w:wordWrap/>
              <w:overflowPunct/>
              <w:topLinePunct w:val="0"/>
              <w:autoSpaceDE w:val="0"/>
              <w:autoSpaceDN w:val="0"/>
              <w:bidi w:val="0"/>
              <w:adjustRightInd w:val="0"/>
              <w:snapToGrid w:val="0"/>
              <w:spacing w:before="0" w:beforeAutospacing="0" w:afterAutospacing="0"/>
              <w:ind w:left="0" w:right="0"/>
              <w:jc w:val="center"/>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6.5</w:t>
            </w:r>
          </w:p>
        </w:tc>
        <w:tc>
          <w:tcPr>
            <w:tcW w:w="854" w:type="dxa"/>
            <w:vAlign w:val="center"/>
          </w:tcPr>
          <w:p>
            <w:pPr>
              <w:pStyle w:val="45"/>
              <w:keepNext w:val="0"/>
              <w:keepLines w:val="0"/>
              <w:pageBreakBefore w:val="0"/>
              <w:widowControl/>
              <w:numPr>
                <w:ilvl w:val="0"/>
                <w:numId w:val="0"/>
              </w:numPr>
              <w:suppressLineNumbers w:val="0"/>
              <w:kinsoku/>
              <w:wordWrap/>
              <w:overflowPunct/>
              <w:topLinePunct w:val="0"/>
              <w:autoSpaceDE w:val="0"/>
              <w:autoSpaceDN w:val="0"/>
              <w:bidi w:val="0"/>
              <w:adjustRightInd w:val="0"/>
              <w:snapToGrid w:val="0"/>
              <w:spacing w:before="0" w:beforeAutospacing="0" w:afterAutospacing="0"/>
              <w:ind w:left="0" w:right="0"/>
              <w:jc w:val="center"/>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6.7</w:t>
            </w:r>
          </w:p>
        </w:tc>
        <w:tc>
          <w:tcPr>
            <w:tcW w:w="877" w:type="dxa"/>
            <w:vAlign w:val="center"/>
          </w:tcPr>
          <w:p>
            <w:pPr>
              <w:pStyle w:val="45"/>
              <w:keepNext w:val="0"/>
              <w:keepLines w:val="0"/>
              <w:pageBreakBefore w:val="0"/>
              <w:widowControl/>
              <w:numPr>
                <w:ilvl w:val="0"/>
                <w:numId w:val="0"/>
              </w:numPr>
              <w:suppressLineNumbers w:val="0"/>
              <w:kinsoku/>
              <w:wordWrap/>
              <w:overflowPunct/>
              <w:topLinePunct w:val="0"/>
              <w:autoSpaceDE w:val="0"/>
              <w:autoSpaceDN w:val="0"/>
              <w:bidi w:val="0"/>
              <w:adjustRightInd w:val="0"/>
              <w:snapToGrid w:val="0"/>
              <w:spacing w:before="0" w:beforeAutospacing="0" w:afterAutospacing="0"/>
              <w:ind w:left="0" w:right="0"/>
              <w:jc w:val="center"/>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6.6</w:t>
            </w:r>
          </w:p>
        </w:tc>
        <w:tc>
          <w:tcPr>
            <w:tcW w:w="819" w:type="dxa"/>
            <w:vAlign w:val="center"/>
          </w:tcPr>
          <w:p>
            <w:pPr>
              <w:pStyle w:val="45"/>
              <w:keepNext w:val="0"/>
              <w:keepLines w:val="0"/>
              <w:pageBreakBefore w:val="0"/>
              <w:widowControl/>
              <w:numPr>
                <w:ilvl w:val="0"/>
                <w:numId w:val="0"/>
              </w:numPr>
              <w:suppressLineNumbers w:val="0"/>
              <w:kinsoku/>
              <w:wordWrap/>
              <w:overflowPunct/>
              <w:topLinePunct w:val="0"/>
              <w:autoSpaceDE w:val="0"/>
              <w:autoSpaceDN w:val="0"/>
              <w:bidi w:val="0"/>
              <w:adjustRightInd w:val="0"/>
              <w:snapToGrid w:val="0"/>
              <w:spacing w:before="0" w:beforeAutospacing="0" w:afterAutospacing="0"/>
              <w:ind w:left="0" w:right="0"/>
              <w:jc w:val="center"/>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w:t>
            </w:r>
          </w:p>
        </w:tc>
      </w:tr>
    </w:tbl>
    <w:p>
      <w:pPr>
        <w:pStyle w:val="45"/>
        <w:keepNext w:val="0"/>
        <w:keepLines w:val="0"/>
        <w:pageBreakBefore w:val="0"/>
        <w:widowControl/>
        <w:numPr>
          <w:ilvl w:val="0"/>
          <w:numId w:val="0"/>
        </w:numPr>
        <w:kinsoku/>
        <w:wordWrap/>
        <w:overflowPunct/>
        <w:topLinePunct w:val="0"/>
        <w:autoSpaceDE w:val="0"/>
        <w:autoSpaceDN w:val="0"/>
        <w:bidi w:val="0"/>
        <w:adjustRightInd w:val="0"/>
        <w:snapToGrid w:val="0"/>
        <w:ind w:leftChars="0"/>
        <w:textAlignment w:val="auto"/>
        <w:rPr>
          <w:rFonts w:hint="default" w:ascii="Times New Roman" w:hAnsi="Times New Roman" w:cs="Times New Roman"/>
          <w:sz w:val="20"/>
          <w:szCs w:val="20"/>
          <w:lang w:val="en-US" w:eastAsia="zh-CN"/>
        </w:rPr>
      </w:pPr>
    </w:p>
    <w:p>
      <w:pPr>
        <w:keepNext w:val="0"/>
        <w:keepLines w:val="0"/>
        <w:pageBreakBefore w:val="0"/>
        <w:widowControl/>
        <w:numPr>
          <w:ilvl w:val="0"/>
          <w:numId w:val="0"/>
        </w:numPr>
        <w:kinsoku/>
        <w:wordWrap/>
        <w:overflowPunct/>
        <w:topLinePunct w:val="0"/>
        <w:autoSpaceDE w:val="0"/>
        <w:autoSpaceDN w:val="0"/>
        <w:bidi w:val="0"/>
        <w:adjustRightInd w:val="0"/>
        <w:snapToGrid w:val="0"/>
        <w:spacing w:line="240" w:lineRule="auto"/>
        <w:textAlignment w:val="auto"/>
        <w:rPr>
          <w:rFonts w:hint="default" w:ascii="Times New Roman" w:hAnsi="Times New Roman" w:eastAsia="宋体" w:cs="Times New Roman"/>
          <w:i w:val="0"/>
          <w:sz w:val="20"/>
          <w:szCs w:val="20"/>
          <w:lang w:val="en-US" w:eastAsia="zh-CN"/>
        </w:rPr>
      </w:pPr>
      <w:r>
        <w:rPr>
          <w:rFonts w:hint="eastAsia" w:cs="Times New Roman"/>
          <w:b w:val="0"/>
          <w:bCs w:val="0"/>
          <w:i w:val="0"/>
          <w:iCs w:val="0"/>
          <w:sz w:val="20"/>
          <w:szCs w:val="20"/>
          <w:lang w:val="en-US" w:eastAsia="zh-CN"/>
        </w:rPr>
        <w:t xml:space="preserve">Alternatively, for </w:t>
      </w:r>
      <w:r>
        <w:rPr>
          <w:rFonts w:hint="default" w:ascii="Times New Roman" w:hAnsi="Times New Roman" w:cs="Times New Roman"/>
          <w:b w:val="0"/>
          <w:bCs w:val="0"/>
          <w:i w:val="0"/>
          <w:iCs w:val="0"/>
          <w:sz w:val="20"/>
          <w:szCs w:val="20"/>
          <w:lang w:val="en-US" w:eastAsia="zh-CN"/>
        </w:rPr>
        <w:t>Option 3</w:t>
      </w:r>
      <w:r>
        <w:rPr>
          <w:rFonts w:hint="eastAsia" w:cs="Times New Roman"/>
          <w:b w:val="0"/>
          <w:bCs w:val="0"/>
          <w:i w:val="0"/>
          <w:iCs w:val="0"/>
          <w:sz w:val="20"/>
          <w:szCs w:val="20"/>
          <w:lang w:val="en-US" w:eastAsia="zh-CN"/>
        </w:rPr>
        <w:t>, it could be considered</w:t>
      </w:r>
      <w:r>
        <w:rPr>
          <w:rFonts w:hint="default" w:ascii="Times New Roman" w:hAnsi="Times New Roman" w:cs="Times New Roman"/>
          <w:sz w:val="20"/>
          <w:szCs w:val="20"/>
        </w:rPr>
        <w:t xml:space="preserve"> an offset is applied </w:t>
      </w:r>
      <w:r>
        <w:rPr>
          <w:rFonts w:hint="default" w:ascii="Times New Roman" w:hAnsi="Times New Roman" w:cs="Times New Roman"/>
          <w:sz w:val="20"/>
          <w:szCs w:val="20"/>
          <w:lang w:val="en-US"/>
        </w:rPr>
        <w:t xml:space="preserve">on </w:t>
      </w:r>
      <w:r>
        <w:rPr>
          <w:rFonts w:hint="eastAsia" w:cs="Times New Roman"/>
          <w:sz w:val="20"/>
          <w:szCs w:val="20"/>
          <w:lang w:val="en-US" w:eastAsia="zh-CN"/>
        </w:rPr>
        <w:t xml:space="preserve">the existing </w:t>
      </w:r>
      <w:r>
        <w:rPr>
          <w:rFonts w:hint="default" w:ascii="Times New Roman" w:hAnsi="Times New Roman" w:cs="Times New Roman"/>
          <w:sz w:val="20"/>
          <w:szCs w:val="20"/>
        </w:rPr>
        <w:t>p0-NominalNPUSCH</w:t>
      </w:r>
      <w:r>
        <w:rPr>
          <w:rFonts w:hint="eastAsia" w:cs="Times New Roman"/>
          <w:sz w:val="20"/>
          <w:szCs w:val="20"/>
          <w:lang w:val="en-US" w:eastAsia="zh-CN"/>
        </w:rPr>
        <w:t>. T</w:t>
      </w:r>
      <w:r>
        <w:rPr>
          <w:rFonts w:hint="default" w:ascii="Times New Roman" w:hAnsi="Times New Roman" w:cs="Times New Roman"/>
          <w:sz w:val="20"/>
          <w:szCs w:val="20"/>
          <w:lang w:val="en-US" w:eastAsia="zh-CN"/>
        </w:rPr>
        <w:t>he value of the offset</w:t>
      </w:r>
      <w:r>
        <w:rPr>
          <w:rFonts w:hint="eastAsia" w:cs="Times New Roman"/>
          <w:sz w:val="20"/>
          <w:szCs w:val="20"/>
          <w:lang w:val="en-US" w:eastAsia="zh-CN"/>
        </w:rPr>
        <w:t xml:space="preserve"> is the same as </w:t>
      </w:r>
      <w:r>
        <w:rPr>
          <w:rFonts w:hint="default" w:ascii="Times New Roman" w:hAnsi="Times New Roman" w:cs="Times New Roman"/>
          <w:sz w:val="20"/>
          <w:szCs w:val="20"/>
          <w:lang w:val="en-US" w:eastAsia="zh-CN"/>
        </w:rPr>
        <w:t>Option 2</w:t>
      </w:r>
      <w:r>
        <w:rPr>
          <w:rFonts w:hint="eastAsia" w:cs="Times New Roman"/>
          <w:sz w:val="20"/>
          <w:szCs w:val="20"/>
          <w:lang w:val="en-US" w:eastAsia="zh-CN"/>
        </w:rPr>
        <w:t xml:space="preserve"> if 16QAM is used for </w:t>
      </w:r>
      <w:r>
        <w:rPr>
          <w:rFonts w:hint="eastAsia" w:eastAsia="宋体" w:cs="Times New Roman"/>
          <w:bCs/>
          <w:sz w:val="20"/>
          <w:szCs w:val="20"/>
          <w:lang w:val="en-US" w:eastAsia="zh-CN"/>
        </w:rPr>
        <w:t xml:space="preserve">UL transport block, </w:t>
      </w:r>
      <w:r>
        <w:rPr>
          <w:rFonts w:hint="eastAsia" w:eastAsia="宋体" w:cs="Times New Roman"/>
          <w:bCs/>
          <w:sz w:val="20"/>
          <w:szCs w:val="20"/>
          <w:lang w:val="en-US" w:eastAsia="zh-CN"/>
        </w:rPr>
        <w:t xml:space="preserve">0 otherwise. </w:t>
      </w:r>
      <w:r>
        <w:rPr>
          <w:rFonts w:hint="eastAsia" w:cs="Times New Roman"/>
          <w:sz w:val="20"/>
          <w:szCs w:val="20"/>
          <w:lang w:val="en-US" w:eastAsia="zh-CN"/>
        </w:rPr>
        <w:t xml:space="preserve">Thus, </w:t>
      </w:r>
      <w:r>
        <w:rPr>
          <w:rFonts w:hint="default" w:ascii="Times New Roman" w:hAnsi="Times New Roman" w:cs="Times New Roman"/>
          <w:sz w:val="20"/>
          <w:szCs w:val="20"/>
          <w:lang w:val="en-US" w:eastAsia="zh-CN"/>
        </w:rPr>
        <w:t xml:space="preserve">the </w:t>
      </w:r>
      <w:r>
        <w:rPr>
          <w:rFonts w:hint="default" w:ascii="Times New Roman" w:hAnsi="Times New Roman" w:cs="Times New Roman"/>
          <w:sz w:val="20"/>
          <w:szCs w:val="20"/>
        </w:rPr>
        <w:t>new parameter p0-NominalNPUSCH</w:t>
      </w:r>
      <w:r>
        <w:rPr>
          <w:rFonts w:hint="default" w:ascii="Times New Roman" w:hAnsi="Times New Roman" w:cs="Times New Roman"/>
          <w:sz w:val="20"/>
          <w:szCs w:val="20"/>
          <w:lang w:val="en-US" w:eastAsia="zh-CN"/>
        </w:rPr>
        <w:t xml:space="preserve"> is defined as </w:t>
      </w:r>
      <m:oMath>
        <m:sSub>
          <m:sSubPr>
            <m:ctrlPr>
              <w:rPr>
                <w:rFonts w:hint="default" w:ascii="Cambria Math" w:hAnsi="Cambria Math" w:eastAsia="Cambria Math" w:cs="Times New Roman"/>
                <w:i/>
                <w:sz w:val="20"/>
                <w:szCs w:val="20"/>
                <w:highlight w:val="none"/>
              </w:rPr>
            </m:ctrlPr>
          </m:sSubPr>
          <m:e>
            <m:r>
              <w:rPr>
                <w:rFonts w:hint="default" w:ascii="Cambria Math" w:hAnsi="Cambria Math" w:eastAsia="Cambria Math" w:cs="Times New Roman"/>
                <w:sz w:val="20"/>
                <w:szCs w:val="20"/>
                <w:highlight w:val="none"/>
              </w:rPr>
              <m:t>P</m:t>
            </m:r>
            <m:ctrlPr>
              <w:rPr>
                <w:rFonts w:hint="default" w:ascii="Cambria Math" w:hAnsi="Cambria Math" w:eastAsia="Cambria Math" w:cs="Times New Roman"/>
                <w:i/>
                <w:sz w:val="20"/>
                <w:szCs w:val="20"/>
                <w:highlight w:val="none"/>
              </w:rPr>
            </m:ctrlPr>
          </m:e>
          <m:sub>
            <m:r>
              <w:rPr>
                <w:rFonts w:hint="default" w:ascii="Cambria Math" w:hAnsi="Cambria Math" w:eastAsia="Cambria Math" w:cs="Times New Roman"/>
                <w:sz w:val="20"/>
                <w:szCs w:val="20"/>
                <w:highlight w:val="none"/>
              </w:rPr>
              <m:t>O_NOMINAL_NPUSCH,c</m:t>
            </m:r>
            <m:ctrlPr>
              <w:rPr>
                <w:rFonts w:hint="default" w:ascii="Cambria Math" w:hAnsi="Cambria Math" w:eastAsia="Cambria Math" w:cs="Times New Roman"/>
                <w:i/>
                <w:sz w:val="20"/>
                <w:szCs w:val="20"/>
                <w:highlight w:val="none"/>
              </w:rPr>
            </m:ctrlPr>
          </m:sub>
        </m:sSub>
      </m:oMath>
      <w:r>
        <w:rPr>
          <w:rFonts w:hint="default" w:ascii="Times New Roman" w:hAnsi="Times New Roman" w:eastAsia="宋体" w:cs="Times New Roman"/>
          <w:i w:val="0"/>
          <w:sz w:val="20"/>
          <w:szCs w:val="20"/>
          <w:lang w:val="en-US" w:eastAsia="zh-CN"/>
        </w:rPr>
        <w:t xml:space="preserve"> with an offset</w:t>
      </w:r>
      <w:r>
        <w:rPr>
          <w:rFonts w:hint="eastAsia" w:eastAsia="宋体" w:cs="Times New Roman"/>
          <w:i w:val="0"/>
          <w:sz w:val="20"/>
          <w:szCs w:val="20"/>
          <w:lang w:val="en-US" w:eastAsia="zh-CN"/>
        </w:rPr>
        <w:t>.</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line="240" w:lineRule="auto"/>
        <w:textAlignment w:val="auto"/>
        <w:rPr>
          <w:rFonts w:hint="default" w:ascii="Times New Roman" w:hAnsi="Times New Roman" w:cs="Times New Roman" w:eastAsiaTheme="minorEastAsia"/>
          <w:b/>
          <w:bCs/>
          <w:i/>
          <w:iCs/>
          <w:sz w:val="20"/>
          <w:szCs w:val="20"/>
          <w:lang w:val="en-US" w:eastAsia="zh-CN"/>
        </w:rPr>
      </w:pPr>
      <w:r>
        <w:rPr>
          <w:rFonts w:hint="default" w:ascii="Times New Roman" w:hAnsi="Times New Roman" w:eastAsia="宋体" w:cs="Times New Roman"/>
          <w:b/>
          <w:bCs/>
          <w:i/>
          <w:iCs/>
          <w:sz w:val="20"/>
          <w:szCs w:val="20"/>
          <w:lang w:val="en-US" w:eastAsia="zh-CN"/>
        </w:rPr>
        <w:t xml:space="preserve">Proposal </w:t>
      </w:r>
      <w:r>
        <w:rPr>
          <w:rFonts w:hint="eastAsia" w:eastAsia="宋体" w:cs="Times New Roman"/>
          <w:b/>
          <w:bCs/>
          <w:i/>
          <w:iCs/>
          <w:sz w:val="20"/>
          <w:szCs w:val="20"/>
          <w:lang w:val="en-US" w:eastAsia="zh-CN"/>
        </w:rPr>
        <w:t>2</w:t>
      </w:r>
      <w:r>
        <w:rPr>
          <w:rFonts w:hint="default" w:ascii="Times New Roman" w:hAnsi="Times New Roman" w:eastAsia="宋体" w:cs="Times New Roman"/>
          <w:b/>
          <w:bCs/>
          <w:i/>
          <w:iCs/>
          <w:sz w:val="20"/>
          <w:szCs w:val="20"/>
          <w:lang w:val="en-US" w:eastAsia="zh-CN"/>
        </w:rPr>
        <w:t>: A</w:t>
      </w:r>
      <w:r>
        <w:rPr>
          <w:rFonts w:hint="default" w:ascii="Times New Roman" w:hAnsi="Times New Roman" w:cs="Times New Roman"/>
          <w:b/>
          <w:bCs/>
          <w:i/>
          <w:iCs/>
          <w:sz w:val="20"/>
          <w:szCs w:val="20"/>
        </w:rPr>
        <w:t xml:space="preserve">n offset </w:t>
      </w:r>
      <w:r>
        <w:rPr>
          <w:rFonts w:hint="default" w:ascii="Times New Roman" w:hAnsi="Times New Roman" w:cs="Times New Roman"/>
          <w:b/>
          <w:bCs/>
          <w:i/>
          <w:iCs/>
          <w:sz w:val="20"/>
          <w:szCs w:val="20"/>
          <w:lang w:val="en-US" w:eastAsia="zh-CN"/>
        </w:rPr>
        <w:t>can be</w:t>
      </w:r>
      <w:r>
        <w:rPr>
          <w:rFonts w:hint="default" w:ascii="Times New Roman" w:hAnsi="Times New Roman" w:cs="Times New Roman"/>
          <w:b/>
          <w:bCs/>
          <w:i/>
          <w:iCs/>
          <w:sz w:val="20"/>
          <w:szCs w:val="20"/>
        </w:rPr>
        <w:t xml:space="preserve"> applied on </w:t>
      </w:r>
      <m:oMath>
        <m:sSub>
          <m:sSubPr>
            <m:ctrlPr>
              <w:rPr>
                <w:rFonts w:hint="default" w:ascii="Cambria Math" w:hAnsi="Cambria Math" w:cs="Times New Roman"/>
                <w:b/>
                <w:bCs/>
                <w:i/>
                <w:iCs/>
                <w:sz w:val="20"/>
                <w:szCs w:val="20"/>
              </w:rPr>
            </m:ctrlPr>
          </m:sSubPr>
          <m:e>
            <m:r>
              <m:rPr>
                <m:sty m:val="bi"/>
              </m:rPr>
              <w:rPr>
                <w:rFonts w:hint="default" w:ascii="Cambria Math" w:hAnsi="Cambria Math" w:cs="Times New Roman"/>
                <w:sz w:val="20"/>
                <w:szCs w:val="20"/>
              </w:rPr>
              <m:t>∆</m:t>
            </m:r>
            <m:ctrlPr>
              <w:rPr>
                <w:rFonts w:hint="default" w:ascii="Cambria Math" w:hAnsi="Cambria Math" w:cs="Times New Roman"/>
                <w:b/>
                <w:bCs/>
                <w:i/>
                <w:iCs/>
                <w:sz w:val="20"/>
                <w:szCs w:val="20"/>
              </w:rPr>
            </m:ctrlPr>
          </m:e>
          <m:sub>
            <m:r>
              <m:rPr>
                <m:sty m:val="bi"/>
              </m:rPr>
              <w:rPr>
                <w:rFonts w:hint="default" w:ascii="Cambria Math" w:hAnsi="Cambria Math" w:cs="Times New Roman"/>
                <w:sz w:val="20"/>
                <w:szCs w:val="20"/>
              </w:rPr>
              <m:t>TF,c</m:t>
            </m:r>
            <m:ctrlPr>
              <w:rPr>
                <w:rFonts w:hint="default" w:ascii="Cambria Math" w:hAnsi="Cambria Math" w:cs="Times New Roman"/>
                <w:b/>
                <w:bCs/>
                <w:i/>
                <w:iCs/>
                <w:sz w:val="20"/>
                <w:szCs w:val="20"/>
              </w:rPr>
            </m:ctrlPr>
          </m:sub>
        </m:sSub>
      </m:oMath>
      <w:r>
        <w:rPr>
          <w:rFonts w:hint="default" w:ascii="Times New Roman" w:hAnsi="Times New Roman" w:cs="Times New Roman"/>
          <w:b/>
          <w:bCs/>
          <w:i/>
          <w:iCs/>
          <w:sz w:val="20"/>
          <w:szCs w:val="20"/>
        </w:rPr>
        <w:t xml:space="preserve"> </w:t>
      </w:r>
      <w:r>
        <w:rPr>
          <w:rFonts w:hint="default" w:ascii="Times New Roman" w:hAnsi="Times New Roman" w:cs="Times New Roman"/>
          <w:b/>
          <w:bCs/>
          <w:i/>
          <w:iCs/>
          <w:sz w:val="20"/>
          <w:szCs w:val="20"/>
          <w:lang w:val="en-US" w:eastAsia="zh-CN"/>
        </w:rPr>
        <w:t xml:space="preserve">or </w:t>
      </w:r>
      <m:oMath>
        <m:sSub>
          <m:sSubPr>
            <m:ctrlPr>
              <w:rPr>
                <w:rFonts w:hint="default" w:ascii="Cambria Math" w:hAnsi="Cambria Math" w:eastAsia="Cambria Math" w:cs="Times New Roman"/>
                <w:b/>
                <w:bCs/>
                <w:i/>
                <w:iCs/>
                <w:sz w:val="20"/>
                <w:szCs w:val="20"/>
              </w:rPr>
            </m:ctrlPr>
          </m:sSubPr>
          <m:e>
            <m:r>
              <m:rPr>
                <m:sty m:val="bi"/>
              </m:rPr>
              <w:rPr>
                <w:rFonts w:hint="default" w:ascii="Cambria Math" w:hAnsi="Cambria Math" w:eastAsia="Cambria Math" w:cs="Times New Roman"/>
                <w:sz w:val="20"/>
                <w:szCs w:val="20"/>
              </w:rPr>
              <m:t>P</m:t>
            </m:r>
            <m:ctrlPr>
              <w:rPr>
                <w:rFonts w:hint="default" w:ascii="Cambria Math" w:hAnsi="Cambria Math" w:eastAsia="Cambria Math" w:cs="Times New Roman"/>
                <w:b/>
                <w:bCs/>
                <w:i/>
                <w:iCs/>
                <w:sz w:val="20"/>
                <w:szCs w:val="20"/>
              </w:rPr>
            </m:ctrlPr>
          </m:e>
          <m:sub>
            <m:r>
              <m:rPr>
                <m:sty m:val="bi"/>
              </m:rPr>
              <w:rPr>
                <w:rFonts w:hint="default" w:ascii="Cambria Math" w:hAnsi="Cambria Math" w:eastAsia="Cambria Math" w:cs="Times New Roman"/>
                <w:sz w:val="20"/>
                <w:szCs w:val="20"/>
              </w:rPr>
              <m:t>O_NOMINAL_NPUSCH,c</m:t>
            </m:r>
            <m:ctrlPr>
              <w:rPr>
                <w:rFonts w:hint="default" w:ascii="Cambria Math" w:hAnsi="Cambria Math" w:eastAsia="Cambria Math" w:cs="Times New Roman"/>
                <w:b/>
                <w:bCs/>
                <w:i/>
                <w:iCs/>
                <w:sz w:val="20"/>
                <w:szCs w:val="20"/>
              </w:rPr>
            </m:ctrlPr>
          </m:sub>
        </m:sSub>
      </m:oMath>
      <w:r>
        <w:rPr>
          <w:rFonts w:hint="default" w:ascii="Times New Roman" w:hAnsi="Times New Roman" w:eastAsia="宋体" w:cs="Times New Roman"/>
          <w:b/>
          <w:bCs/>
          <w:i/>
          <w:iCs/>
          <w:sz w:val="20"/>
          <w:szCs w:val="20"/>
          <w:lang w:val="en-US" w:eastAsia="zh-CN"/>
        </w:rPr>
        <w:t xml:space="preserve"> </w:t>
      </w:r>
      <w:r>
        <w:rPr>
          <w:rFonts w:hint="default" w:ascii="Times New Roman" w:hAnsi="Times New Roman" w:cs="Times New Roman"/>
          <w:b/>
          <w:bCs/>
          <w:i/>
          <w:iCs/>
          <w:sz w:val="20"/>
          <w:szCs w:val="20"/>
        </w:rPr>
        <w:t>to reduce the power difference between QPSK and 16QAM</w:t>
      </w:r>
      <w:r>
        <w:rPr>
          <w:rFonts w:hint="default" w:ascii="Times New Roman" w:hAnsi="Times New Roman" w:cs="Times New Roman"/>
          <w:b/>
          <w:bCs/>
          <w:i/>
          <w:iCs/>
          <w:sz w:val="20"/>
          <w:szCs w:val="20"/>
          <w:lang w:val="en-US" w:eastAsia="zh-CN"/>
        </w:rPr>
        <w:t>.</w:t>
      </w:r>
    </w:p>
    <w:p>
      <w:pPr>
        <w:keepNext w:val="0"/>
        <w:keepLines w:val="0"/>
        <w:pageBreakBefore w:val="0"/>
        <w:widowControl/>
        <w:numPr>
          <w:ilvl w:val="0"/>
          <w:numId w:val="7"/>
        </w:numPr>
        <w:kinsoku/>
        <w:wordWrap/>
        <w:overflowPunct/>
        <w:topLinePunct w:val="0"/>
        <w:autoSpaceDE w:val="0"/>
        <w:autoSpaceDN w:val="0"/>
        <w:bidi w:val="0"/>
        <w:adjustRightInd w:val="0"/>
        <w:snapToGrid w:val="0"/>
        <w:spacing w:line="240" w:lineRule="auto"/>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The offset could be indicated by higher layers</w:t>
      </w:r>
      <w:r>
        <w:rPr>
          <w:rFonts w:hint="eastAsia" w:cs="Times New Roman"/>
          <w:b/>
          <w:bCs/>
          <w:i/>
          <w:iCs/>
          <w:sz w:val="20"/>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spacing w:line="240" w:lineRule="auto"/>
        <w:textAlignment w:val="auto"/>
        <w:rPr>
          <w:rFonts w:hint="eastAsia" w:eastAsia="宋体" w:cs="Times New Roman"/>
          <w:sz w:val="20"/>
          <w:szCs w:val="20"/>
          <w:lang w:val="en-US" w:eastAsia="zh-CN" w:bidi="ar"/>
        </w:rPr>
      </w:pPr>
      <w:r>
        <w:rPr>
          <w:rFonts w:hint="default" w:ascii="Times New Roman" w:hAnsi="Times New Roman" w:eastAsia="宋体" w:cs="Times New Roman"/>
          <w:sz w:val="20"/>
          <w:szCs w:val="20"/>
          <w:lang w:val="en-US" w:eastAsia="zh-CN" w:bidi="ar"/>
        </w:rPr>
        <w:t xml:space="preserve">Considering that </w:t>
      </w:r>
      <w:r>
        <w:rPr>
          <w:rFonts w:hint="eastAsia" w:eastAsia="宋体" w:cs="Times New Roman"/>
          <w:sz w:val="20"/>
          <w:szCs w:val="20"/>
          <w:lang w:val="en-US" w:eastAsia="zh-CN" w:bidi="ar"/>
        </w:rPr>
        <w:t xml:space="preserve">the higher layer indication of </w:t>
      </w:r>
      <m:oMath>
        <m:sSub>
          <m:sSubPr>
            <m:ctrlPr>
              <w:rPr>
                <w:rFonts w:hint="default" w:ascii="Cambria Math" w:hAnsi="Cambria Math" w:cs="Times New Roman"/>
                <w:sz w:val="20"/>
                <w:szCs w:val="20"/>
              </w:rPr>
            </m:ctrlPr>
          </m:sSubPr>
          <m:e>
            <m:r>
              <m:rPr>
                <m:sty m:val="p"/>
              </m:rPr>
              <w:rPr>
                <w:rFonts w:hint="default" w:ascii="Cambria Math" w:hAnsi="Cambria Math" w:cs="Times New Roman"/>
                <w:sz w:val="20"/>
                <w:szCs w:val="20"/>
              </w:rPr>
              <m:t>∆</m:t>
            </m:r>
            <m:ctrlPr>
              <w:rPr>
                <w:rFonts w:hint="default" w:ascii="Cambria Math" w:hAnsi="Cambria Math" w:cs="Times New Roman"/>
                <w:sz w:val="20"/>
                <w:szCs w:val="20"/>
              </w:rPr>
            </m:ctrlPr>
          </m:e>
          <m:sub>
            <m:r>
              <w:rPr>
                <w:rFonts w:hint="default" w:ascii="Cambria Math" w:hAnsi="Cambria Math" w:cs="Times New Roman"/>
                <w:sz w:val="20"/>
                <w:szCs w:val="20"/>
              </w:rPr>
              <m:t>TF</m:t>
            </m:r>
            <m:r>
              <m:rPr>
                <m:sty m:val="p"/>
              </m:rPr>
              <w:rPr>
                <w:rFonts w:hint="default" w:ascii="Cambria Math" w:hAnsi="Cambria Math" w:cs="Times New Roman"/>
                <w:sz w:val="20"/>
                <w:szCs w:val="20"/>
              </w:rPr>
              <m:t>,</m:t>
            </m:r>
            <m:r>
              <w:rPr>
                <w:rFonts w:hint="default" w:ascii="Cambria Math" w:hAnsi="Cambria Math" w:cs="Times New Roman"/>
                <w:sz w:val="20"/>
                <w:szCs w:val="20"/>
              </w:rPr>
              <m:t>c</m:t>
            </m:r>
            <m:ctrlPr>
              <w:rPr>
                <w:rFonts w:hint="default" w:ascii="Cambria Math" w:hAnsi="Cambria Math" w:cs="Times New Roman"/>
                <w:sz w:val="20"/>
                <w:szCs w:val="20"/>
              </w:rPr>
            </m:ctrlPr>
          </m:sub>
        </m:sSub>
      </m:oMath>
      <w:r>
        <w:rPr>
          <w:rFonts w:hint="default" w:ascii="Times New Roman" w:hAnsi="Times New Roman" w:eastAsia="宋体" w:cs="Times New Roman"/>
          <w:sz w:val="20"/>
          <w:szCs w:val="20"/>
          <w:lang w:val="en-US" w:eastAsia="zh-CN" w:bidi="ar"/>
        </w:rPr>
        <w:t xml:space="preserve"> is not so flexible and there are still some reserved bits in the DCI, it is recommended to use DCI indication to adjust the value of the increase or decrease of the uplink power</w:t>
      </w:r>
      <w:r>
        <w:rPr>
          <w:rFonts w:hint="eastAsia" w:eastAsia="宋体" w:cs="Times New Roman"/>
          <w:sz w:val="20"/>
          <w:szCs w:val="20"/>
          <w:lang w:val="en-US" w:eastAsia="zh-CN" w:bidi="ar"/>
        </w:rPr>
        <w:t xml:space="preserve"> </w:t>
      </w:r>
      <w:r>
        <w:rPr>
          <w:rFonts w:hint="default" w:ascii="Times New Roman" w:hAnsi="Times New Roman" w:eastAsia="宋体" w:cs="Times New Roman"/>
          <w:iCs/>
          <w:sz w:val="20"/>
          <w:szCs w:val="20"/>
          <w:lang w:val="en-US" w:eastAsia="zh-CN" w:bidi="ar"/>
        </w:rPr>
        <w:t>dynamical</w:t>
      </w:r>
      <w:r>
        <w:rPr>
          <w:rFonts w:hint="eastAsia" w:eastAsia="宋体" w:cs="Times New Roman"/>
          <w:iCs/>
          <w:sz w:val="20"/>
          <w:szCs w:val="20"/>
          <w:lang w:val="en-US" w:eastAsia="zh-CN" w:bidi="ar"/>
        </w:rPr>
        <w:t>ly</w:t>
      </w:r>
      <w:r>
        <w:rPr>
          <w:rFonts w:hint="default" w:ascii="Times New Roman" w:hAnsi="Times New Roman" w:eastAsia="宋体" w:cs="Times New Roman"/>
          <w:sz w:val="20"/>
          <w:szCs w:val="20"/>
          <w:lang w:val="en-US" w:eastAsia="zh-CN" w:bidi="ar"/>
        </w:rPr>
        <w:t xml:space="preserve">. More specifically, </w:t>
      </w:r>
      <w:r>
        <w:rPr>
          <w:rFonts w:hint="default" w:ascii="Times New Roman" w:hAnsi="Times New Roman" w:eastAsia="宋体" w:cs="Times New Roman"/>
          <w:kern w:val="2"/>
          <w:sz w:val="20"/>
          <w:szCs w:val="20"/>
          <w:lang w:val="en-US" w:eastAsia="zh-CN" w:bidi="ar"/>
        </w:rPr>
        <w:t xml:space="preserve">the </w:t>
      </w:r>
      <w:r>
        <w:rPr>
          <w:rFonts w:hint="default" w:ascii="Times New Roman" w:hAnsi="Times New Roman" w:eastAsia="宋体" w:cs="Times New Roman"/>
          <w:sz w:val="20"/>
          <w:szCs w:val="20"/>
          <w:lang w:val="en-US" w:eastAsia="zh-CN" w:bidi="ar"/>
        </w:rPr>
        <w:t>most significant bit</w:t>
      </w:r>
      <w:r>
        <w:rPr>
          <w:rFonts w:hint="default" w:ascii="Times New Roman" w:hAnsi="Times New Roman" w:eastAsia="宋体" w:cs="Times New Roman"/>
          <w:kern w:val="2"/>
          <w:sz w:val="20"/>
          <w:szCs w:val="20"/>
          <w:lang w:val="en-US" w:eastAsia="zh-CN" w:bidi="ar"/>
        </w:rPr>
        <w:t xml:space="preserve"> of ‘subcarrier indication’ filed can be utilized to enable the dynamic power control. When this bit indicates dynamic power control is disabled, the following agreement is still workable.When this bit indicates dynamic power control is enabled, then similarly, </w:t>
      </w:r>
      <w:r>
        <w:rPr>
          <w:rFonts w:hint="default" w:ascii="Times New Roman" w:hAnsi="Times New Roman" w:eastAsia="Batang" w:cs="Times New Roman"/>
          <w:sz w:val="20"/>
          <w:szCs w:val="20"/>
          <w:lang w:val="en-US" w:eastAsia="en-US" w:bidi="ar"/>
        </w:rPr>
        <w:t xml:space="preserve">the “Repetition number” field in DCI Format N0 is utilized to indicate the TBS indices for 16QAM and the MCS with 4 bits can be utilized to indicate </w:t>
      </w:r>
      <w:r>
        <w:rPr>
          <w:rFonts w:hint="eastAsia" w:eastAsia="宋体" w:cs="Times New Roman"/>
          <w:sz w:val="20"/>
          <w:szCs w:val="20"/>
          <w:lang w:val="en-US" w:eastAsia="zh-CN" w:bidi="ar"/>
        </w:rPr>
        <w:t xml:space="preserve">a </w:t>
      </w:r>
      <w:r>
        <w:rPr>
          <w:rFonts w:hint="default" w:ascii="Times New Roman" w:hAnsi="Times New Roman" w:eastAsia="Batang" w:cs="Times New Roman"/>
          <w:sz w:val="20"/>
          <w:szCs w:val="20"/>
          <w:lang w:val="en-US" w:eastAsia="en-US" w:bidi="ar"/>
        </w:rPr>
        <w:t xml:space="preserve">dynamic power offset. </w:t>
      </w:r>
      <w:r>
        <w:rPr>
          <w:rFonts w:hint="default" w:ascii="Times New Roman" w:hAnsi="Times New Roman" w:eastAsia="宋体" w:cs="Times New Roman"/>
          <w:sz w:val="20"/>
          <w:szCs w:val="20"/>
          <w:lang w:val="en-US" w:eastAsia="zh-CN" w:bidi="ar"/>
        </w:rPr>
        <w:t>Based on the current power, the 4 bits power offset value can be dynamically indicated, e.g., [-8, 7]</w:t>
      </w:r>
      <w:r>
        <w:rPr>
          <w:rFonts w:hint="eastAsia" w:eastAsia="宋体" w:cs="Times New Roman"/>
          <w:sz w:val="20"/>
          <w:szCs w:val="20"/>
          <w:lang w:val="en-US" w:eastAsia="zh-CN" w:bidi="ar"/>
        </w:rPr>
        <w:t>.</w:t>
      </w:r>
    </w:p>
    <w:p>
      <w:pPr>
        <w:keepNext w:val="0"/>
        <w:keepLines w:val="0"/>
        <w:pageBreakBefore w:val="0"/>
        <w:widowControl/>
        <w:kinsoku/>
        <w:wordWrap/>
        <w:overflowPunct/>
        <w:topLinePunct w:val="0"/>
        <w:autoSpaceDE w:val="0"/>
        <w:autoSpaceDN w:val="0"/>
        <w:bidi w:val="0"/>
        <w:adjustRightInd w:val="0"/>
        <w:snapToGrid w:val="0"/>
        <w:spacing w:line="240" w:lineRule="auto"/>
        <w:textAlignment w:val="auto"/>
        <w:rPr>
          <w:rFonts w:hint="eastAsia" w:cs="Times New Roman" w:eastAsiaTheme="minorEastAsia"/>
          <w:b/>
          <w:bCs/>
          <w:i/>
          <w:iCs/>
          <w:sz w:val="20"/>
          <w:szCs w:val="20"/>
          <w:lang w:val="en-US" w:eastAsia="zh-CN"/>
        </w:rPr>
      </w:pPr>
      <w:r>
        <w:rPr>
          <w:rFonts w:hint="eastAsia" w:eastAsia="宋体" w:cs="Times New Roman"/>
          <w:b/>
          <w:bCs/>
          <w:i/>
          <w:iCs/>
          <w:sz w:val="20"/>
          <w:szCs w:val="20"/>
          <w:lang w:val="en-US" w:eastAsia="zh-CN" w:bidi="ar"/>
        </w:rPr>
        <w:t xml:space="preserve">Proposal 3: </w:t>
      </w:r>
      <w:r>
        <w:rPr>
          <w:rFonts w:hint="default" w:ascii="Times New Roman" w:hAnsi="Times New Roman" w:eastAsia="宋体" w:cs="Times New Roman"/>
          <w:b/>
          <w:bCs/>
          <w:i/>
          <w:iCs/>
          <w:sz w:val="20"/>
          <w:szCs w:val="20"/>
          <w:lang w:val="en-US" w:eastAsia="zh-CN" w:bidi="ar"/>
        </w:rPr>
        <w:t xml:space="preserve">Closed-loop power control </w:t>
      </w:r>
      <w:r>
        <w:rPr>
          <w:rFonts w:hint="eastAsia" w:ascii="Times New Roman" w:hAnsi="Times New Roman" w:eastAsia="宋体" w:cs="Times New Roman"/>
          <w:b/>
          <w:bCs/>
          <w:i/>
          <w:iCs/>
          <w:sz w:val="20"/>
          <w:szCs w:val="20"/>
          <w:lang w:val="en-US" w:eastAsia="zh-CN" w:bidi="ar"/>
        </w:rPr>
        <w:t xml:space="preserve">could </w:t>
      </w:r>
      <w:r>
        <w:rPr>
          <w:rFonts w:hint="default" w:ascii="Times New Roman" w:hAnsi="Times New Roman" w:eastAsia="宋体" w:cs="Times New Roman"/>
          <w:b/>
          <w:bCs/>
          <w:i/>
          <w:iCs/>
          <w:sz w:val="20"/>
          <w:szCs w:val="20"/>
          <w:lang w:val="en-US" w:eastAsia="zh-CN" w:bidi="ar"/>
        </w:rPr>
        <w:t xml:space="preserve">be </w:t>
      </w:r>
      <w:r>
        <w:rPr>
          <w:rFonts w:hint="eastAsia" w:ascii="Times New Roman" w:hAnsi="Times New Roman" w:eastAsia="宋体" w:cs="Times New Roman"/>
          <w:b/>
          <w:bCs/>
          <w:i/>
          <w:iCs/>
          <w:sz w:val="20"/>
          <w:szCs w:val="20"/>
          <w:lang w:val="en-US" w:eastAsia="zh-CN" w:bidi="ar"/>
        </w:rPr>
        <w:t xml:space="preserve">applied to </w:t>
      </w:r>
      <w:r>
        <w:rPr>
          <w:rFonts w:hint="default" w:ascii="Times New Roman" w:hAnsi="Times New Roman" w:eastAsia="宋体" w:cs="Times New Roman"/>
          <w:b/>
          <w:bCs/>
          <w:i/>
          <w:iCs/>
          <w:sz w:val="20"/>
          <w:szCs w:val="20"/>
          <w:lang w:val="en-US" w:eastAsia="zh-CN" w:bidi="ar"/>
        </w:rPr>
        <w:t>dynamical</w:t>
      </w:r>
      <w:r>
        <w:rPr>
          <w:rFonts w:hint="eastAsia" w:eastAsia="宋体" w:cs="Times New Roman"/>
          <w:b/>
          <w:bCs/>
          <w:i/>
          <w:iCs/>
          <w:sz w:val="20"/>
          <w:szCs w:val="20"/>
          <w:lang w:val="en-US" w:eastAsia="zh-CN" w:bidi="ar"/>
        </w:rPr>
        <w:t>ly</w:t>
      </w:r>
      <w:r>
        <w:rPr>
          <w:rFonts w:hint="eastAsia" w:ascii="Times New Roman" w:hAnsi="Times New Roman" w:eastAsia="宋体" w:cs="Times New Roman"/>
          <w:b/>
          <w:bCs/>
          <w:i/>
          <w:iCs/>
          <w:sz w:val="20"/>
          <w:szCs w:val="20"/>
          <w:lang w:val="en-US" w:eastAsia="zh-CN" w:bidi="ar"/>
        </w:rPr>
        <w:t xml:space="preserve"> indicate </w:t>
      </w:r>
      <w:r>
        <w:rPr>
          <w:rFonts w:hint="default" w:ascii="Times New Roman" w:hAnsi="Times New Roman" w:eastAsia="Batang" w:cs="Times New Roman"/>
          <w:b/>
          <w:bCs/>
          <w:i/>
          <w:iCs/>
          <w:sz w:val="20"/>
          <w:szCs w:val="20"/>
          <w:lang w:val="en-US" w:eastAsia="en-US" w:bidi="ar"/>
        </w:rPr>
        <w:t>power offset</w:t>
      </w:r>
      <w:r>
        <w:rPr>
          <w:rFonts w:hint="eastAsia" w:eastAsia="宋体" w:cs="Times New Roman"/>
          <w:b/>
          <w:bCs/>
          <w:i/>
          <w:iCs/>
          <w:sz w:val="20"/>
          <w:szCs w:val="20"/>
          <w:lang w:val="en-US" w:eastAsia="zh-CN" w:bidi="ar"/>
        </w:rPr>
        <w:t xml:space="preserve"> </w:t>
      </w:r>
      <w:r>
        <w:rPr>
          <w:rFonts w:hint="default" w:ascii="Times New Roman" w:hAnsi="Times New Roman" w:eastAsia="宋体" w:cs="Times New Roman"/>
          <w:b/>
          <w:bCs/>
          <w:i/>
          <w:iCs/>
          <w:sz w:val="20"/>
          <w:szCs w:val="20"/>
          <w:lang w:val="en-US" w:eastAsia="zh-CN" w:bidi="ar"/>
        </w:rPr>
        <w:t>for 16QAM</w:t>
      </w:r>
      <w:r>
        <w:rPr>
          <w:rFonts w:hint="eastAsia" w:ascii="Times New Roman" w:hAnsi="Times New Roman" w:eastAsia="宋体" w:cs="Times New Roman"/>
          <w:b/>
          <w:bCs/>
          <w:i/>
          <w:iCs/>
          <w:sz w:val="20"/>
          <w:szCs w:val="20"/>
          <w:lang w:val="en-US" w:eastAsia="zh-CN" w:bidi="ar"/>
        </w:rPr>
        <w:t>.</w:t>
      </w:r>
      <w:r>
        <w:rPr>
          <w:rFonts w:hint="eastAsia" w:eastAsia="宋体" w:cs="Times New Roman"/>
          <w:b/>
          <w:bCs/>
          <w:i/>
          <w:iCs/>
          <w:sz w:val="20"/>
          <w:szCs w:val="20"/>
          <w:lang w:val="en-US" w:eastAsia="zh-CN" w:bidi="ar"/>
        </w:rPr>
        <w:t xml:space="preserve"> </w:t>
      </w:r>
    </w:p>
    <w:p>
      <w:pPr>
        <w:keepNext w:val="0"/>
        <w:keepLines w:val="0"/>
        <w:pageBreakBefore w:val="0"/>
        <w:widowControl/>
        <w:kinsoku/>
        <w:wordWrap/>
        <w:overflowPunct/>
        <w:topLinePunct w:val="0"/>
        <w:autoSpaceDE w:val="0"/>
        <w:autoSpaceDN w:val="0"/>
        <w:bidi w:val="0"/>
        <w:adjustRightInd w:val="0"/>
        <w:snapToGrid w:val="0"/>
        <w:spacing w:before="240" w:line="276" w:lineRule="auto"/>
        <w:textAlignment w:val="auto"/>
        <w:rPr>
          <w:rFonts w:hint="default"/>
          <w:b/>
          <w:bCs/>
          <w:sz w:val="20"/>
          <w:szCs w:val="20"/>
          <w:u w:val="single"/>
          <w:lang w:val="en-US" w:eastAsia="zh-CN"/>
        </w:rPr>
      </w:pPr>
      <w:r>
        <w:rPr>
          <w:rFonts w:hint="eastAsia"/>
          <w:b/>
          <w:bCs/>
          <w:sz w:val="20"/>
          <w:szCs w:val="20"/>
          <w:u w:val="single"/>
          <w:lang w:val="en-US" w:eastAsia="zh-CN"/>
        </w:rPr>
        <w:t>Channel quality Report</w:t>
      </w:r>
    </w:p>
    <w:p>
      <w:pPr>
        <w:numPr>
          <w:ilvl w:val="0"/>
          <w:numId w:val="0"/>
        </w:numPr>
        <w:rPr>
          <w:rFonts w:hint="eastAsia" w:eastAsia="宋体"/>
          <w:sz w:val="20"/>
          <w:szCs w:val="20"/>
          <w:lang w:val="en-US" w:eastAsia="zh-CN"/>
        </w:rPr>
      </w:pPr>
      <w:r>
        <w:rPr>
          <w:rFonts w:hint="eastAsia" w:eastAsia="宋体"/>
          <w:sz w:val="20"/>
          <w:szCs w:val="20"/>
          <w:lang w:val="en-US" w:eastAsia="zh-CN"/>
        </w:rPr>
        <w:t>For CQI table for downlink 16-QAM, down-select from following options:</w:t>
      </w:r>
    </w:p>
    <w:p>
      <w:pPr>
        <w:numPr>
          <w:ilvl w:val="2"/>
          <w:numId w:val="0"/>
        </w:numPr>
        <w:ind w:leftChars="100"/>
        <w:rPr>
          <w:rFonts w:hint="eastAsia" w:eastAsia="宋体"/>
          <w:sz w:val="20"/>
          <w:szCs w:val="20"/>
          <w:lang w:val="en-US" w:eastAsia="zh-CN"/>
        </w:rPr>
      </w:pPr>
      <w:r>
        <w:rPr>
          <w:rFonts w:hint="eastAsia" w:eastAsia="宋体"/>
          <w:sz w:val="20"/>
          <w:szCs w:val="20"/>
          <w:lang w:val="en-US" w:eastAsia="zh-CN"/>
        </w:rPr>
        <w:t>Option 1: More than three candidate values for 16-QAM are added in the legacy table.</w:t>
      </w:r>
    </w:p>
    <w:p>
      <w:pPr>
        <w:numPr>
          <w:ilvl w:val="6"/>
          <w:numId w:val="0"/>
        </w:numPr>
        <w:ind w:leftChars="300"/>
        <w:rPr>
          <w:rFonts w:hint="eastAsia" w:eastAsia="宋体"/>
          <w:sz w:val="20"/>
          <w:szCs w:val="20"/>
          <w:lang w:val="en-US" w:eastAsia="zh-CN"/>
        </w:rPr>
      </w:pPr>
      <w:r>
        <w:rPr>
          <w:rFonts w:hint="eastAsia" w:eastAsia="宋体"/>
          <w:sz w:val="20"/>
          <w:szCs w:val="20"/>
          <w:lang w:val="en-US" w:eastAsia="zh-CN"/>
        </w:rPr>
        <w:t>FFS: Which of the legacy entries are removed</w:t>
      </w:r>
    </w:p>
    <w:p>
      <w:pPr>
        <w:numPr>
          <w:ilvl w:val="1"/>
          <w:numId w:val="0"/>
        </w:numPr>
        <w:ind w:leftChars="100"/>
        <w:rPr>
          <w:rFonts w:hint="eastAsia" w:eastAsia="宋体"/>
          <w:sz w:val="20"/>
          <w:szCs w:val="20"/>
          <w:lang w:val="en-US" w:eastAsia="zh-CN"/>
        </w:rPr>
      </w:pPr>
      <w:r>
        <w:rPr>
          <w:rFonts w:cs="Times"/>
          <w:sz w:val="20"/>
          <w:szCs w:val="20"/>
          <w:lang w:eastAsia="zh-CN"/>
        </w:rPr>
        <w:t>Option 2: Three candidate values for 16-QAM are added in the legacy table.</w:t>
      </w:r>
    </w:p>
    <w:p>
      <w:pPr>
        <w:numPr>
          <w:ilvl w:val="2"/>
          <w:numId w:val="0"/>
        </w:numPr>
        <w:ind w:leftChars="100"/>
        <w:rPr>
          <w:rFonts w:hint="eastAsia" w:eastAsia="宋体"/>
          <w:sz w:val="20"/>
          <w:szCs w:val="20"/>
          <w:lang w:val="en-US" w:eastAsia="zh-CN"/>
        </w:rPr>
      </w:pPr>
      <w:r>
        <w:rPr>
          <w:rFonts w:hint="eastAsia" w:eastAsia="宋体"/>
          <w:sz w:val="20"/>
          <w:szCs w:val="20"/>
          <w:lang w:val="en-US" w:eastAsia="zh-CN"/>
        </w:rPr>
        <w:t>Option 3: A new CQI table is defined for 16-QAM based on the eMTC table (CQI Tables in 36.213) as a starting point</w:t>
      </w:r>
    </w:p>
    <w:p>
      <w:pPr>
        <w:numPr>
          <w:ilvl w:val="0"/>
          <w:numId w:val="0"/>
        </w:numPr>
        <w:rPr>
          <w:rFonts w:hint="eastAsia" w:eastAsia="宋体" w:cs="Times New Roman"/>
          <w:i w:val="0"/>
          <w:caps w:val="0"/>
          <w:color w:val="000000"/>
          <w:spacing w:val="0"/>
          <w:sz w:val="20"/>
          <w:szCs w:val="20"/>
          <w:shd w:val="clear" w:fill="FFFFFF"/>
          <w:lang w:val="en-US" w:eastAsia="zh-CN"/>
        </w:rPr>
      </w:pPr>
      <w:r>
        <w:rPr>
          <w:rFonts w:hint="eastAsia" w:eastAsia="sans-serif" w:cs="Times New Roman"/>
          <w:i w:val="0"/>
          <w:caps w:val="0"/>
          <w:color w:val="000000"/>
          <w:spacing w:val="0"/>
          <w:sz w:val="20"/>
          <w:szCs w:val="20"/>
          <w:shd w:val="clear" w:fill="FFFFFF"/>
          <w:lang w:val="en-US" w:eastAsia="zh-CN"/>
        </w:rPr>
        <w:t xml:space="preserve">Between </w:t>
      </w:r>
      <w:r>
        <w:rPr>
          <w:rFonts w:hint="eastAsia" w:eastAsia="宋体" w:cs="Times New Roman"/>
          <w:i w:val="0"/>
          <w:caps w:val="0"/>
          <w:color w:val="000000"/>
          <w:spacing w:val="0"/>
          <w:sz w:val="20"/>
          <w:szCs w:val="20"/>
          <w:shd w:val="clear" w:fill="FFFFFF"/>
          <w:lang w:val="en-US" w:eastAsia="zh-CN"/>
        </w:rPr>
        <w:t>Option 1 and 2</w:t>
      </w:r>
      <w:r>
        <w:rPr>
          <w:rFonts w:hint="eastAsia" w:eastAsia="sans-serif" w:cs="Times New Roman"/>
          <w:i w:val="0"/>
          <w:caps w:val="0"/>
          <w:color w:val="000000"/>
          <w:spacing w:val="0"/>
          <w:sz w:val="20"/>
          <w:szCs w:val="20"/>
          <w:shd w:val="clear" w:fill="FFFFFF"/>
          <w:lang w:val="en-US" w:eastAsia="zh-CN"/>
        </w:rPr>
        <w:t>, Option 1 was considered as a compromise candidate table in last meeting</w:t>
      </w:r>
      <w:r>
        <w:rPr>
          <w:rFonts w:hint="eastAsia" w:eastAsia="宋体" w:cs="Times New Roman"/>
          <w:i w:val="0"/>
          <w:caps w:val="0"/>
          <w:color w:val="000000"/>
          <w:spacing w:val="0"/>
          <w:sz w:val="20"/>
          <w:szCs w:val="20"/>
          <w:shd w:val="clear" w:fill="FFFFFF"/>
          <w:lang w:val="en-US" w:eastAsia="zh-CN"/>
        </w:rPr>
        <w:t xml:space="preserve">. Then, </w:t>
      </w:r>
      <w:r>
        <w:rPr>
          <w:rFonts w:hint="eastAsia" w:eastAsia="宋体"/>
          <w:sz w:val="20"/>
          <w:szCs w:val="20"/>
          <w:lang w:val="en-US" w:eastAsia="zh-CN"/>
        </w:rPr>
        <w:t xml:space="preserve">CQI table for downlink 16QAM may be down-selected from Option 1 and 3. </w:t>
      </w:r>
      <w:r>
        <w:rPr>
          <w:rFonts w:hint="eastAsia" w:eastAsia="宋体" w:cs="Times New Roman"/>
          <w:i w:val="0"/>
          <w:caps w:val="0"/>
          <w:color w:val="000000"/>
          <w:spacing w:val="0"/>
          <w:sz w:val="20"/>
          <w:szCs w:val="20"/>
          <w:shd w:val="clear" w:fill="FFFFFF"/>
          <w:lang w:val="en-US" w:eastAsia="zh-CN"/>
        </w:rPr>
        <w:t xml:space="preserve">Comparing Option 1 and Option 3, </w:t>
      </w:r>
      <w:r>
        <w:rPr>
          <w:rFonts w:hint="eastAsia" w:eastAsia="sans-serif" w:cs="Times New Roman"/>
          <w:i w:val="0"/>
          <w:caps w:val="0"/>
          <w:color w:val="000000"/>
          <w:spacing w:val="0"/>
          <w:sz w:val="20"/>
          <w:szCs w:val="20"/>
          <w:shd w:val="clear" w:fill="FFFFFF"/>
          <w:lang w:val="en-US" w:eastAsia="zh-CN"/>
        </w:rPr>
        <w:t>both</w:t>
      </w:r>
      <w:r>
        <w:rPr>
          <w:rFonts w:hint="eastAsia" w:eastAsia="宋体" w:cs="Times New Roman"/>
          <w:i w:val="0"/>
          <w:caps w:val="0"/>
          <w:color w:val="000000"/>
          <w:spacing w:val="0"/>
          <w:sz w:val="20"/>
          <w:szCs w:val="20"/>
          <w:shd w:val="clear" w:fill="FFFFFF"/>
          <w:lang w:val="en-US" w:eastAsia="zh-CN"/>
        </w:rPr>
        <w:t xml:space="preserve"> introduce a new table dedicated to channel quality report for NPDSCH. </w:t>
      </w:r>
      <w:r>
        <w:rPr>
          <w:rFonts w:hint="eastAsia" w:eastAsia="宋体" w:cs="Times New Roman"/>
          <w:i w:val="0"/>
          <w:color w:val="000000"/>
          <w:spacing w:val="0"/>
          <w:sz w:val="20"/>
          <w:szCs w:val="20"/>
          <w:shd w:val="clear" w:fill="FFFFFF"/>
          <w:lang w:val="en-US" w:eastAsia="zh-CN"/>
        </w:rPr>
        <w:t>T</w:t>
      </w:r>
      <w:r>
        <w:rPr>
          <w:rFonts w:hint="eastAsia" w:eastAsia="宋体" w:cs="Times New Roman"/>
          <w:i w:val="0"/>
          <w:caps w:val="0"/>
          <w:color w:val="000000"/>
          <w:spacing w:val="0"/>
          <w:sz w:val="20"/>
          <w:szCs w:val="20"/>
          <w:shd w:val="clear" w:fill="FFFFFF"/>
          <w:lang w:val="en-US" w:eastAsia="zh-CN"/>
        </w:rPr>
        <w:t xml:space="preserve">he switching of new table and legacy table needs to be considered when channel quality report is triggered. It can be performed via signaling or predefined restrictions. Since predefined restrictions will limit the usage scenarios of CQI tables, we recommend utilizing signaling to switch CQI tables. For example, </w:t>
      </w:r>
      <w:r>
        <w:rPr>
          <w:rFonts w:hint="eastAsia"/>
          <w:color w:val="auto"/>
          <w:kern w:val="2"/>
          <w:sz w:val="20"/>
          <w:szCs w:val="20"/>
          <w:lang w:val="en-US" w:eastAsia="zh-CN"/>
        </w:rPr>
        <w:t>the existing MAC CE can be reused to report 4-bit CQI for NPDSCH if the UE receives a NPDSCH CQI command and 4-bit number of repetitions for NPDCCH if the UE receives a NPDCCH CQI command. The details should be discussed by RAN2</w:t>
      </w:r>
      <w:r>
        <w:rPr>
          <w:rFonts w:hint="eastAsia" w:eastAsia="宋体" w:cs="Times New Roman"/>
          <w:i w:val="0"/>
          <w:caps w:val="0"/>
          <w:color w:val="000000"/>
          <w:spacing w:val="0"/>
          <w:sz w:val="20"/>
          <w:szCs w:val="20"/>
          <w:shd w:val="clear" w:fill="FFFFFF"/>
          <w:lang w:val="en-US" w:eastAsia="zh-CN"/>
        </w:rPr>
        <w:t>.</w:t>
      </w:r>
    </w:p>
    <w:p>
      <w:pPr>
        <w:numPr>
          <w:ilvl w:val="0"/>
          <w:numId w:val="0"/>
        </w:numPr>
        <w:rPr>
          <w:rFonts w:hint="default" w:eastAsia="宋体" w:cs="Times New Roman"/>
          <w:b/>
          <w:bCs/>
          <w:i/>
          <w:iCs/>
          <w:caps w:val="0"/>
          <w:color w:val="000000"/>
          <w:spacing w:val="0"/>
          <w:sz w:val="20"/>
          <w:szCs w:val="20"/>
          <w:shd w:val="clear" w:fill="FFFFFF"/>
          <w:lang w:val="en-US" w:eastAsia="zh-CN"/>
        </w:rPr>
      </w:pPr>
      <w:r>
        <w:rPr>
          <w:rFonts w:hint="eastAsia" w:eastAsia="宋体" w:cs="Times New Roman"/>
          <w:b/>
          <w:bCs/>
          <w:i/>
          <w:iCs/>
          <w:caps w:val="0"/>
          <w:color w:val="000000"/>
          <w:spacing w:val="0"/>
          <w:sz w:val="20"/>
          <w:szCs w:val="20"/>
          <w:shd w:val="clear" w:fill="FFFFFF"/>
          <w:lang w:val="en-US" w:eastAsia="zh-CN"/>
        </w:rPr>
        <w:t>Observation 1: For channel quality report, the switching of new table and legacy table needs to be considered for both Option 1 and Option 3 since new CQI table is introduced for NPDSCH.</w:t>
      </w:r>
    </w:p>
    <w:p>
      <w:pPr>
        <w:numPr>
          <w:ilvl w:val="0"/>
          <w:numId w:val="0"/>
        </w:numPr>
        <w:rPr>
          <w:rFonts w:hint="default" w:eastAsia="sans-serif" w:cs="Times New Roman"/>
          <w:i w:val="0"/>
          <w:caps w:val="0"/>
          <w:color w:val="000000"/>
          <w:spacing w:val="0"/>
          <w:sz w:val="20"/>
          <w:szCs w:val="20"/>
          <w:shd w:val="clear" w:fill="FFFFFF"/>
          <w:lang w:val="en-US" w:eastAsia="zh-CN"/>
        </w:rPr>
      </w:pPr>
      <w:r>
        <w:rPr>
          <w:rFonts w:hint="eastAsia" w:ascii="Times New Roman" w:hAnsi="Times New Roman" w:eastAsia="sans-serif" w:cs="Times New Roman"/>
          <w:i w:val="0"/>
          <w:caps w:val="0"/>
          <w:color w:val="000000"/>
          <w:spacing w:val="0"/>
          <w:sz w:val="20"/>
          <w:szCs w:val="20"/>
          <w:shd w:val="clear" w:fill="FFFFFF"/>
          <w:lang w:val="en-US" w:eastAsia="zh-CN"/>
        </w:rPr>
        <w:t xml:space="preserve">In </w:t>
      </w:r>
      <w:r>
        <w:rPr>
          <w:rFonts w:hint="eastAsia" w:eastAsia="sans-serif" w:cs="Times New Roman"/>
          <w:i w:val="0"/>
          <w:caps w:val="0"/>
          <w:color w:val="000000"/>
          <w:spacing w:val="0"/>
          <w:sz w:val="20"/>
          <w:szCs w:val="20"/>
          <w:shd w:val="clear" w:fill="FFFFFF"/>
          <w:lang w:val="en-US" w:eastAsia="zh-CN"/>
        </w:rPr>
        <w:t xml:space="preserve">aspect of CQI table design, </w:t>
      </w:r>
      <w:r>
        <w:rPr>
          <w:rFonts w:hint="default" w:ascii="Times New Roman" w:hAnsi="Times New Roman" w:eastAsia="sans-serif" w:cs="Times New Roman"/>
          <w:i w:val="0"/>
          <w:caps w:val="0"/>
          <w:color w:val="000000"/>
          <w:spacing w:val="0"/>
          <w:sz w:val="20"/>
          <w:szCs w:val="20"/>
          <w:shd w:val="clear" w:fill="FFFFFF"/>
        </w:rPr>
        <w:t>Option 1</w:t>
      </w:r>
      <w:r>
        <w:rPr>
          <w:rFonts w:hint="eastAsia" w:eastAsia="宋体" w:cs="Times New Roman"/>
          <w:i w:val="0"/>
          <w:caps w:val="0"/>
          <w:color w:val="000000"/>
          <w:spacing w:val="0"/>
          <w:sz w:val="20"/>
          <w:szCs w:val="20"/>
          <w:shd w:val="clear" w:fill="FFFFFF"/>
          <w:lang w:val="en-US" w:eastAsia="zh-CN"/>
        </w:rPr>
        <w:t xml:space="preserve"> has some</w:t>
      </w:r>
      <w:r>
        <w:rPr>
          <w:rFonts w:hint="default" w:ascii="Times New Roman" w:hAnsi="Times New Roman" w:eastAsia="sans-serif" w:cs="Times New Roman"/>
          <w:i w:val="0"/>
          <w:caps w:val="0"/>
          <w:color w:val="000000"/>
          <w:spacing w:val="0"/>
          <w:sz w:val="20"/>
          <w:szCs w:val="20"/>
          <w:shd w:val="clear" w:fill="FFFFFF"/>
        </w:rPr>
        <w:t xml:space="preserve"> entri</w:t>
      </w:r>
      <w:r>
        <w:rPr>
          <w:rFonts w:hint="eastAsia" w:ascii="Times New Roman" w:hAnsi="Times New Roman" w:eastAsia="宋体" w:cs="Times New Roman"/>
          <w:i w:val="0"/>
          <w:caps w:val="0"/>
          <w:color w:val="000000"/>
          <w:spacing w:val="0"/>
          <w:sz w:val="20"/>
          <w:szCs w:val="20"/>
          <w:shd w:val="clear" w:fill="FFFFFF"/>
          <w:lang w:val="en-US" w:eastAsia="zh-CN"/>
        </w:rPr>
        <w:t>e</w:t>
      </w:r>
      <w:r>
        <w:rPr>
          <w:rFonts w:hint="default" w:ascii="Times New Roman" w:hAnsi="Times New Roman" w:eastAsia="sans-serif" w:cs="Times New Roman"/>
          <w:i w:val="0"/>
          <w:caps w:val="0"/>
          <w:color w:val="000000"/>
          <w:spacing w:val="0"/>
          <w:sz w:val="20"/>
          <w:szCs w:val="20"/>
          <w:shd w:val="clear" w:fill="FFFFFF"/>
        </w:rPr>
        <w:t>s</w:t>
      </w:r>
      <w:r>
        <w:rPr>
          <w:rFonts w:hint="eastAsia" w:eastAsia="宋体" w:cs="Times New Roman"/>
          <w:i w:val="0"/>
          <w:caps w:val="0"/>
          <w:color w:val="000000"/>
          <w:spacing w:val="0"/>
          <w:sz w:val="20"/>
          <w:szCs w:val="20"/>
          <w:shd w:val="clear" w:fill="FFFFFF"/>
          <w:lang w:val="en-US" w:eastAsia="zh-CN"/>
        </w:rPr>
        <w:t xml:space="preserve"> with </w:t>
      </w:r>
      <w:r>
        <w:rPr>
          <w:rFonts w:hint="default" w:ascii="Times New Roman" w:hAnsi="Times New Roman" w:eastAsia="sans-serif" w:cs="Times New Roman"/>
          <w:i w:val="0"/>
          <w:caps w:val="0"/>
          <w:color w:val="000000"/>
          <w:spacing w:val="0"/>
          <w:sz w:val="20"/>
          <w:szCs w:val="20"/>
          <w:shd w:val="clear" w:fill="FFFFFF"/>
        </w:rPr>
        <w:t>PDCCH repetitions</w:t>
      </w:r>
      <w:r>
        <w:rPr>
          <w:rFonts w:hint="eastAsia" w:eastAsia="宋体" w:cs="Times New Roman"/>
          <w:i w:val="0"/>
          <w:caps w:val="0"/>
          <w:color w:val="000000"/>
          <w:spacing w:val="0"/>
          <w:sz w:val="20"/>
          <w:szCs w:val="20"/>
          <w:shd w:val="clear" w:fill="FFFFFF"/>
          <w:lang w:val="en-US" w:eastAsia="zh-CN"/>
        </w:rPr>
        <w:t xml:space="preserve"> in the new </w:t>
      </w:r>
      <w:r>
        <w:rPr>
          <w:rFonts w:hint="eastAsia" w:eastAsia="sans-serif" w:cs="Times New Roman"/>
          <w:i w:val="0"/>
          <w:caps w:val="0"/>
          <w:color w:val="000000"/>
          <w:spacing w:val="0"/>
          <w:sz w:val="20"/>
          <w:szCs w:val="20"/>
          <w:shd w:val="clear" w:fill="FFFFFF"/>
          <w:lang w:val="en-US" w:eastAsia="zh-CN"/>
        </w:rPr>
        <w:t>CQI table. We understand that these entries cannot be used in channel quality report for NPDSCH. So this will lead to a performance loss on CQI report for NPDSCH and a waste of feedback overhead.</w:t>
      </w:r>
    </w:p>
    <w:p>
      <w:pPr>
        <w:numPr>
          <w:ilvl w:val="0"/>
          <w:numId w:val="0"/>
        </w:numPr>
        <w:rPr>
          <w:rFonts w:hint="default" w:eastAsia="宋体" w:cs="Times New Roman"/>
          <w:b/>
          <w:bCs/>
          <w:i/>
          <w:iCs/>
          <w:caps w:val="0"/>
          <w:color w:val="000000"/>
          <w:spacing w:val="0"/>
          <w:sz w:val="20"/>
          <w:szCs w:val="20"/>
          <w:shd w:val="clear" w:fill="FFFFFF"/>
          <w:lang w:val="en-US" w:eastAsia="zh-CN"/>
        </w:rPr>
      </w:pPr>
      <w:r>
        <w:rPr>
          <w:rFonts w:hint="eastAsia" w:eastAsia="宋体" w:cs="Times New Roman"/>
          <w:b/>
          <w:bCs/>
          <w:i/>
          <w:iCs/>
          <w:caps w:val="0"/>
          <w:color w:val="000000"/>
          <w:spacing w:val="0"/>
          <w:sz w:val="20"/>
          <w:szCs w:val="20"/>
          <w:shd w:val="clear" w:fill="FFFFFF"/>
          <w:lang w:val="en-US" w:eastAsia="zh-CN"/>
        </w:rPr>
        <w:t xml:space="preserve">Observation 2: For channel quality report, </w:t>
      </w:r>
      <w:r>
        <w:rPr>
          <w:rFonts w:hint="default" w:ascii="Times New Roman" w:hAnsi="Times New Roman" w:eastAsia="sans-serif" w:cs="Times New Roman"/>
          <w:b/>
          <w:bCs/>
          <w:i/>
          <w:iCs/>
          <w:caps w:val="0"/>
          <w:color w:val="000000"/>
          <w:spacing w:val="0"/>
          <w:sz w:val="20"/>
          <w:szCs w:val="20"/>
          <w:shd w:val="clear" w:fill="FFFFFF"/>
        </w:rPr>
        <w:t>Option 1</w:t>
      </w:r>
      <w:r>
        <w:rPr>
          <w:rFonts w:hint="eastAsia" w:eastAsia="宋体" w:cs="Times New Roman"/>
          <w:b/>
          <w:bCs/>
          <w:i/>
          <w:iCs/>
          <w:caps w:val="0"/>
          <w:color w:val="000000"/>
          <w:spacing w:val="0"/>
          <w:sz w:val="20"/>
          <w:szCs w:val="20"/>
          <w:shd w:val="clear" w:fill="FFFFFF"/>
          <w:lang w:val="en-US" w:eastAsia="zh-CN"/>
        </w:rPr>
        <w:t xml:space="preserve"> </w:t>
      </w:r>
      <w:r>
        <w:rPr>
          <w:rFonts w:hint="eastAsia" w:eastAsia="sans-serif" w:cs="Times New Roman"/>
          <w:b/>
          <w:bCs/>
          <w:i/>
          <w:iCs/>
          <w:caps w:val="0"/>
          <w:color w:val="000000"/>
          <w:spacing w:val="0"/>
          <w:sz w:val="20"/>
          <w:szCs w:val="20"/>
          <w:shd w:val="clear" w:fill="FFFFFF"/>
          <w:lang w:val="en-US" w:eastAsia="zh-CN"/>
        </w:rPr>
        <w:t>will lead to a performance loss on CQI report for NPDSCH and a waste of feedback overhead since</w:t>
      </w:r>
      <w:r>
        <w:rPr>
          <w:rFonts w:hint="eastAsia" w:eastAsia="宋体" w:cs="Times New Roman"/>
          <w:b/>
          <w:bCs/>
          <w:i/>
          <w:iCs/>
          <w:caps w:val="0"/>
          <w:color w:val="000000"/>
          <w:spacing w:val="0"/>
          <w:sz w:val="20"/>
          <w:szCs w:val="20"/>
          <w:shd w:val="clear" w:fill="FFFFFF"/>
          <w:lang w:val="en-US" w:eastAsia="zh-CN"/>
        </w:rPr>
        <w:t xml:space="preserve"> some</w:t>
      </w:r>
      <w:r>
        <w:rPr>
          <w:rFonts w:hint="default" w:ascii="Times New Roman" w:hAnsi="Times New Roman" w:eastAsia="sans-serif" w:cs="Times New Roman"/>
          <w:b/>
          <w:bCs/>
          <w:i/>
          <w:iCs/>
          <w:caps w:val="0"/>
          <w:color w:val="000000"/>
          <w:spacing w:val="0"/>
          <w:sz w:val="20"/>
          <w:szCs w:val="20"/>
          <w:shd w:val="clear" w:fill="FFFFFF"/>
        </w:rPr>
        <w:t xml:space="preserve"> </w:t>
      </w:r>
      <w:r>
        <w:rPr>
          <w:rFonts w:hint="eastAsia" w:eastAsia="宋体" w:cs="Times New Roman"/>
          <w:b/>
          <w:bCs/>
          <w:i/>
          <w:iCs/>
          <w:caps w:val="0"/>
          <w:color w:val="000000"/>
          <w:spacing w:val="0"/>
          <w:sz w:val="20"/>
          <w:szCs w:val="20"/>
          <w:shd w:val="clear" w:fill="FFFFFF"/>
          <w:lang w:val="en-US" w:eastAsia="zh-CN"/>
        </w:rPr>
        <w:t xml:space="preserve">CQI </w:t>
      </w:r>
      <w:r>
        <w:rPr>
          <w:rFonts w:hint="default" w:ascii="Times New Roman" w:hAnsi="Times New Roman" w:eastAsia="sans-serif" w:cs="Times New Roman"/>
          <w:b/>
          <w:bCs/>
          <w:i/>
          <w:iCs/>
          <w:caps w:val="0"/>
          <w:color w:val="000000"/>
          <w:spacing w:val="0"/>
          <w:sz w:val="20"/>
          <w:szCs w:val="20"/>
          <w:shd w:val="clear" w:fill="FFFFFF"/>
        </w:rPr>
        <w:t>entri</w:t>
      </w:r>
      <w:r>
        <w:rPr>
          <w:rFonts w:hint="eastAsia" w:ascii="Times New Roman" w:hAnsi="Times New Roman" w:eastAsia="宋体" w:cs="Times New Roman"/>
          <w:b/>
          <w:bCs/>
          <w:i/>
          <w:iCs/>
          <w:caps w:val="0"/>
          <w:color w:val="000000"/>
          <w:spacing w:val="0"/>
          <w:sz w:val="20"/>
          <w:szCs w:val="20"/>
          <w:shd w:val="clear" w:fill="FFFFFF"/>
          <w:lang w:val="en-US" w:eastAsia="zh-CN"/>
        </w:rPr>
        <w:t>e</w:t>
      </w:r>
      <w:r>
        <w:rPr>
          <w:rFonts w:hint="default" w:ascii="Times New Roman" w:hAnsi="Times New Roman" w:eastAsia="sans-serif" w:cs="Times New Roman"/>
          <w:b/>
          <w:bCs/>
          <w:i/>
          <w:iCs/>
          <w:caps w:val="0"/>
          <w:color w:val="000000"/>
          <w:spacing w:val="0"/>
          <w:sz w:val="20"/>
          <w:szCs w:val="20"/>
          <w:shd w:val="clear" w:fill="FFFFFF"/>
        </w:rPr>
        <w:t>s</w:t>
      </w:r>
      <w:r>
        <w:rPr>
          <w:rFonts w:hint="eastAsia" w:eastAsia="宋体" w:cs="Times New Roman"/>
          <w:b/>
          <w:bCs/>
          <w:i/>
          <w:iCs/>
          <w:caps w:val="0"/>
          <w:color w:val="000000"/>
          <w:spacing w:val="0"/>
          <w:sz w:val="20"/>
          <w:szCs w:val="20"/>
          <w:shd w:val="clear" w:fill="FFFFFF"/>
          <w:lang w:val="en-US" w:eastAsia="zh-CN"/>
        </w:rPr>
        <w:t xml:space="preserve"> with </w:t>
      </w:r>
      <w:r>
        <w:rPr>
          <w:rFonts w:hint="default" w:ascii="Times New Roman" w:hAnsi="Times New Roman" w:eastAsia="sans-serif" w:cs="Times New Roman"/>
          <w:b/>
          <w:bCs/>
          <w:i/>
          <w:iCs/>
          <w:caps w:val="0"/>
          <w:color w:val="000000"/>
          <w:spacing w:val="0"/>
          <w:sz w:val="20"/>
          <w:szCs w:val="20"/>
          <w:shd w:val="clear" w:fill="FFFFFF"/>
        </w:rPr>
        <w:t>PDCCH repetitions</w:t>
      </w:r>
      <w:r>
        <w:rPr>
          <w:rFonts w:hint="eastAsia" w:eastAsia="宋体" w:cs="Times New Roman"/>
          <w:b/>
          <w:bCs/>
          <w:i/>
          <w:iCs/>
          <w:caps w:val="0"/>
          <w:color w:val="000000"/>
          <w:spacing w:val="0"/>
          <w:sz w:val="20"/>
          <w:szCs w:val="20"/>
          <w:shd w:val="clear" w:fill="FFFFFF"/>
          <w:lang w:val="en-US" w:eastAsia="zh-CN"/>
        </w:rPr>
        <w:t xml:space="preserve"> cannot be used for NPDSCH.</w:t>
      </w:r>
    </w:p>
    <w:p>
      <w:pPr>
        <w:numPr>
          <w:ilvl w:val="0"/>
          <w:numId w:val="0"/>
        </w:numPr>
        <w:rPr>
          <w:rFonts w:hint="default" w:ascii="Times New Roman" w:hAnsi="Times New Roman" w:eastAsia="宋体" w:cs="Times New Roman"/>
          <w:i w:val="0"/>
          <w:caps w:val="0"/>
          <w:color w:val="000000"/>
          <w:spacing w:val="0"/>
          <w:sz w:val="20"/>
          <w:szCs w:val="20"/>
          <w:shd w:val="clear" w:fill="FFFFFF"/>
          <w:lang w:val="en-US" w:eastAsia="zh-CN"/>
        </w:rPr>
      </w:pPr>
      <w:r>
        <w:rPr>
          <w:rFonts w:hint="eastAsia" w:eastAsia="宋体" w:cs="Times New Roman"/>
          <w:i w:val="0"/>
          <w:caps w:val="0"/>
          <w:color w:val="000000"/>
          <w:spacing w:val="0"/>
          <w:sz w:val="20"/>
          <w:szCs w:val="20"/>
          <w:shd w:val="clear" w:fill="FFFFFF"/>
          <w:lang w:val="en-US" w:eastAsia="zh-CN"/>
        </w:rPr>
        <w:t xml:space="preserve">Further, based on </w:t>
      </w:r>
      <w:r>
        <w:rPr>
          <w:rFonts w:hint="eastAsia" w:eastAsia="sans-serif" w:cs="Times New Roman"/>
          <w:i w:val="0"/>
          <w:caps w:val="0"/>
          <w:color w:val="000000"/>
          <w:spacing w:val="0"/>
          <w:sz w:val="20"/>
          <w:szCs w:val="20"/>
          <w:shd w:val="clear" w:fill="FFFFFF"/>
          <w:lang w:val="en-US" w:eastAsia="zh-CN"/>
        </w:rPr>
        <w:t xml:space="preserve">Option 3, new </w:t>
      </w:r>
      <w:r>
        <w:rPr>
          <w:rFonts w:hint="eastAsia" w:ascii="Times New Roman" w:hAnsi="Times New Roman" w:eastAsia="宋体" w:cs="Times New Roman"/>
          <w:i w:val="0"/>
          <w:caps w:val="0"/>
          <w:color w:val="000000"/>
          <w:spacing w:val="0"/>
          <w:sz w:val="20"/>
          <w:szCs w:val="20"/>
          <w:shd w:val="clear" w:fill="FFFFFF"/>
          <w:lang w:val="en-US" w:eastAsia="zh-CN"/>
        </w:rPr>
        <w:t xml:space="preserve">CQI </w:t>
      </w:r>
      <w:r>
        <w:rPr>
          <w:rFonts w:hint="eastAsia" w:eastAsia="宋体" w:cs="Times New Roman"/>
          <w:i w:val="0"/>
          <w:caps w:val="0"/>
          <w:color w:val="000000"/>
          <w:spacing w:val="0"/>
          <w:sz w:val="20"/>
          <w:szCs w:val="20"/>
          <w:shd w:val="clear" w:fill="FFFFFF"/>
          <w:lang w:val="en-US" w:eastAsia="zh-CN"/>
        </w:rPr>
        <w:t>table can be considered between the following two sub-</w:t>
      </w:r>
      <w:r>
        <w:rPr>
          <w:rFonts w:hint="eastAsia" w:ascii="Times New Roman" w:hAnsi="Times New Roman" w:eastAsia="宋体" w:cs="Times New Roman"/>
          <w:i w:val="0"/>
          <w:caps w:val="0"/>
          <w:color w:val="000000"/>
          <w:spacing w:val="0"/>
          <w:sz w:val="20"/>
          <w:szCs w:val="20"/>
          <w:shd w:val="clear" w:fill="FFFFFF"/>
          <w:lang w:val="en-US" w:eastAsia="zh-CN"/>
        </w:rPr>
        <w:t>options</w:t>
      </w:r>
      <w:r>
        <w:rPr>
          <w:rFonts w:hint="eastAsia" w:eastAsia="宋体" w:cs="Times New Roman"/>
          <w:i w:val="0"/>
          <w:caps w:val="0"/>
          <w:color w:val="000000"/>
          <w:spacing w:val="0"/>
          <w:sz w:val="20"/>
          <w:szCs w:val="20"/>
          <w:shd w:val="clear" w:fill="FFFFFF"/>
          <w:lang w:val="en-US" w:eastAsia="zh-CN"/>
        </w:rPr>
        <w:t>.</w:t>
      </w:r>
    </w:p>
    <w:p>
      <w:pPr>
        <w:keepNext w:val="0"/>
        <w:keepLines w:val="0"/>
        <w:pageBreakBefore w:val="0"/>
        <w:widowControl/>
        <w:numPr>
          <w:ilvl w:val="0"/>
          <w:numId w:val="6"/>
        </w:numPr>
        <w:kinsoku/>
        <w:wordWrap/>
        <w:overflowPunct/>
        <w:topLinePunct w:val="0"/>
        <w:autoSpaceDE w:val="0"/>
        <w:autoSpaceDN w:val="0"/>
        <w:bidi w:val="0"/>
        <w:adjustRightInd w:val="0"/>
        <w:snapToGrid w:val="0"/>
        <w:ind w:left="181" w:leftChars="0" w:hanging="181" w:firstLineChars="0"/>
        <w:textAlignment w:val="auto"/>
        <w:rPr>
          <w:rFonts w:hint="default" w:ascii="Times New Roman" w:hAnsi="Times New Roman" w:eastAsia="宋体" w:cs="Times New Roman"/>
          <w:i w:val="0"/>
          <w:caps w:val="0"/>
          <w:color w:val="000000"/>
          <w:spacing w:val="0"/>
          <w:sz w:val="20"/>
          <w:szCs w:val="20"/>
          <w:shd w:val="clear" w:fill="FFFFFF"/>
          <w:lang w:val="en-US" w:eastAsia="zh-CN"/>
        </w:rPr>
      </w:pPr>
      <w:bookmarkStart w:id="15" w:name="OLE_LINK5"/>
      <w:r>
        <w:rPr>
          <w:rFonts w:hint="eastAsia" w:ascii="Times New Roman" w:hAnsi="Times New Roman" w:eastAsia="宋体" w:cs="Times New Roman"/>
          <w:b/>
          <w:bCs/>
          <w:i w:val="0"/>
          <w:caps w:val="0"/>
          <w:color w:val="000000"/>
          <w:spacing w:val="0"/>
          <w:sz w:val="20"/>
          <w:szCs w:val="20"/>
          <w:shd w:val="clear" w:fill="FFFFFF"/>
          <w:lang w:val="en-US" w:eastAsia="zh-CN"/>
        </w:rPr>
        <w:t xml:space="preserve">Option </w:t>
      </w:r>
      <w:r>
        <w:rPr>
          <w:rFonts w:hint="eastAsia" w:eastAsia="宋体" w:cs="Times New Roman"/>
          <w:b/>
          <w:bCs/>
          <w:i w:val="0"/>
          <w:caps w:val="0"/>
          <w:color w:val="000000"/>
          <w:spacing w:val="0"/>
          <w:sz w:val="20"/>
          <w:szCs w:val="20"/>
          <w:shd w:val="clear" w:fill="FFFFFF"/>
          <w:lang w:val="en-US" w:eastAsia="zh-CN"/>
        </w:rPr>
        <w:t>3A</w:t>
      </w:r>
      <w:r>
        <w:rPr>
          <w:rFonts w:hint="eastAsia" w:ascii="Times New Roman" w:hAnsi="Times New Roman" w:eastAsia="宋体" w:cs="Times New Roman"/>
          <w:i w:val="0"/>
          <w:caps w:val="0"/>
          <w:color w:val="000000"/>
          <w:spacing w:val="0"/>
          <w:sz w:val="20"/>
          <w:szCs w:val="20"/>
          <w:shd w:val="clear" w:fill="FFFFFF"/>
          <w:lang w:val="en-US" w:eastAsia="zh-CN"/>
        </w:rPr>
        <w:t xml:space="preserve">: </w:t>
      </w:r>
      <w:r>
        <w:rPr>
          <w:rFonts w:hint="eastAsia" w:eastAsia="宋体" w:cs="Times New Roman"/>
          <w:i w:val="0"/>
          <w:caps w:val="0"/>
          <w:color w:val="000000"/>
          <w:spacing w:val="0"/>
          <w:sz w:val="20"/>
          <w:szCs w:val="20"/>
          <w:shd w:val="clear" w:fill="FFFFFF"/>
          <w:lang w:val="en-US" w:eastAsia="zh-CN"/>
        </w:rPr>
        <w:t xml:space="preserve">The </w:t>
      </w:r>
      <w:r>
        <w:rPr>
          <w:rFonts w:hint="eastAsia" w:cs="Times New Roman"/>
          <w:iCs/>
          <w:sz w:val="20"/>
          <w:szCs w:val="20"/>
          <w:lang w:val="en-US" w:eastAsia="zh-CN"/>
        </w:rPr>
        <w:t>TBS indices for 16QAM, TBS indices for QPSK without repetitions and TBS indices for QPSK with repetitions are mapped to CQI table.</w:t>
      </w:r>
    </w:p>
    <w:bookmarkEnd w:id="15"/>
    <w:p>
      <w:pPr>
        <w:rPr>
          <w:rFonts w:hint="default" w:cs="Times New Roman"/>
          <w:iCs/>
          <w:sz w:val="20"/>
          <w:szCs w:val="20"/>
          <w:lang w:val="en-US" w:eastAsia="zh-CN"/>
        </w:rPr>
      </w:pPr>
      <w:r>
        <w:rPr>
          <w:rFonts w:hint="eastAsia" w:eastAsia="宋体"/>
          <w:sz w:val="20"/>
          <w:szCs w:val="20"/>
          <w:lang w:val="en-US" w:eastAsia="zh-CN"/>
        </w:rPr>
        <w:t xml:space="preserve">In this CQI table, LTE/eMTC principles are reused for the CQI entries of 16QAM and QPSK without repetitions, i.e. the SNR gap of about 2dB is assumed between adjacent CQI entries. </w:t>
      </w:r>
      <w:r>
        <w:rPr>
          <w:rFonts w:hint="eastAsia" w:cs="Times New Roman"/>
          <w:iCs/>
          <w:sz w:val="20"/>
          <w:szCs w:val="20"/>
          <w:lang w:val="en-US" w:eastAsia="zh-CN"/>
        </w:rPr>
        <w:t xml:space="preserve">Then, we show the NPDSCH performance for different TBSs with QPSK and 16QAM. It can be observed that TBS 14, 17, 19, 21 are more appropriate for CQI entries with 16QAM than TBS 14, 16, 18, 20. This is because the SNR gap between TBS 14 and 16 is only 0.8 dB while that between TBS 14 and 17 is 1.9 dB for 16QAM. And the former can cover up to the channel state of TBS 21 for guard-band and standalone deployments and TBS 17 for in-band deployment. Furthermore, for </w:t>
      </w:r>
      <w:r>
        <w:rPr>
          <w:rFonts w:hint="eastAsia" w:eastAsia="宋体"/>
          <w:sz w:val="20"/>
          <w:szCs w:val="20"/>
          <w:lang w:val="en-US" w:eastAsia="zh-CN"/>
        </w:rPr>
        <w:t>QPSK without repetitions</w:t>
      </w:r>
      <w:r>
        <w:rPr>
          <w:rFonts w:hint="eastAsia" w:cs="Times New Roman"/>
          <w:iCs/>
          <w:sz w:val="20"/>
          <w:szCs w:val="20"/>
          <w:lang w:val="en-US" w:eastAsia="zh-CN"/>
        </w:rPr>
        <w:t>, TBS 0, 2, 4, 6, 8, 10, 12 have the SNR gap of 1.5-2.5 dB. They could be mapped to CQI entries in the new table. For QPSK with repetitions, TBS 0 with repetitions could be considered to extend the lower bound of SNR for CQI table. Thus, the details of CQI entries are given in Table 2.</w:t>
      </w:r>
    </w:p>
    <w:p>
      <w:pPr>
        <w:rPr>
          <w:rFonts w:hint="default" w:cs="Times New Roman"/>
          <w:iCs/>
          <w:sz w:val="20"/>
          <w:szCs w:val="20"/>
          <w:lang w:val="en-US" w:eastAsia="zh-CN"/>
        </w:rPr>
      </w:pPr>
      <w:r>
        <w:rPr>
          <w:rFonts w:hint="eastAsia" w:cs="Times New Roman"/>
          <w:iCs/>
          <w:sz w:val="20"/>
          <w:szCs w:val="20"/>
          <w:lang w:val="en-US" w:eastAsia="zh-CN"/>
        </w:rPr>
        <w:t>The advantages of Option 3A are mainly large SNR range and moderate SNR interval in CQI table. Compared with Option 1, Option 3A can directly reflect the channel state and improve the performance for NPDSCH since QPSK with repetitions replace number of PDCCH repetitions for small CQI indices.</w:t>
      </w:r>
    </w:p>
    <w:p>
      <w:pPr>
        <w:jc w:val="center"/>
        <w:rPr>
          <w:rFonts w:hint="eastAsia" w:ascii="Times New Roman" w:hAnsi="Times New Roman" w:cs="Times New Roman" w:eastAsiaTheme="minorEastAsia"/>
          <w:iCs/>
          <w:sz w:val="20"/>
          <w:szCs w:val="20"/>
          <w:lang w:eastAsia="zh-CN"/>
        </w:rPr>
      </w:pPr>
      <w:r>
        <w:rPr>
          <w:rFonts w:hint="eastAsia" w:ascii="Times New Roman" w:hAnsi="Times New Roman" w:cs="Times New Roman" w:eastAsiaTheme="minorEastAsia"/>
          <w:iCs/>
          <w:sz w:val="20"/>
          <w:szCs w:val="20"/>
          <w:lang w:eastAsia="zh-CN"/>
        </w:rPr>
        <w:drawing>
          <wp:inline distT="0" distB="0" distL="114300" distR="114300">
            <wp:extent cx="5852160" cy="3343275"/>
            <wp:effectExtent l="0" t="0" r="15240" b="9525"/>
            <wp:docPr id="1" name="图片 1" descr="CQI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QI1027"/>
                    <pic:cNvPicPr>
                      <a:picLocks noChangeAspect="1"/>
                    </pic:cNvPicPr>
                  </pic:nvPicPr>
                  <pic:blipFill>
                    <a:blip r:embed="rId4"/>
                    <a:stretch>
                      <a:fillRect/>
                    </a:stretch>
                  </pic:blipFill>
                  <pic:spPr>
                    <a:xfrm>
                      <a:off x="0" y="0"/>
                      <a:ext cx="5852160" cy="3343275"/>
                    </a:xfrm>
                    <a:prstGeom prst="rect">
                      <a:avLst/>
                    </a:prstGeom>
                  </pic:spPr>
                </pic:pic>
              </a:graphicData>
            </a:graphic>
          </wp:inline>
        </w:drawing>
      </w:r>
    </w:p>
    <w:p>
      <w:pPr>
        <w:jc w:val="center"/>
        <w:rPr>
          <w:rFonts w:hint="eastAsia" w:cs="Times New Roman"/>
          <w:iCs/>
          <w:sz w:val="20"/>
          <w:szCs w:val="20"/>
          <w:lang w:val="en-US" w:eastAsia="zh-CN"/>
        </w:rPr>
      </w:pPr>
      <w:r>
        <w:rPr>
          <w:rFonts w:hint="eastAsia" w:cs="Times New Roman"/>
          <w:iCs/>
          <w:sz w:val="20"/>
          <w:szCs w:val="20"/>
          <w:lang w:val="en-US" w:eastAsia="zh-CN"/>
        </w:rPr>
        <w:t>Figure 1 NPDSCH performance for different TBS with QPSK and 16QAM</w:t>
      </w:r>
    </w:p>
    <w:p>
      <w:pPr>
        <w:jc w:val="center"/>
        <w:rPr>
          <w:rFonts w:hint="default" w:cs="Times New Roman"/>
          <w:iCs/>
          <w:sz w:val="20"/>
          <w:szCs w:val="20"/>
          <w:lang w:val="en-US" w:eastAsia="zh-CN"/>
        </w:rPr>
      </w:pPr>
    </w:p>
    <w:p>
      <w:pPr>
        <w:jc w:val="center"/>
        <w:rPr>
          <w:rFonts w:hint="default" w:ascii="Times New Roman" w:hAnsi="Times New Roman" w:cs="Times New Roman" w:eastAsiaTheme="minorEastAsia"/>
          <w:iCs/>
          <w:sz w:val="20"/>
          <w:szCs w:val="20"/>
          <w:lang w:val="en-US" w:eastAsia="zh-CN"/>
        </w:rPr>
      </w:pPr>
      <w:r>
        <w:rPr>
          <w:rFonts w:hint="eastAsia" w:ascii="Times New Roman" w:hAnsi="Times New Roman" w:cs="Times New Roman"/>
          <w:iCs/>
          <w:sz w:val="20"/>
          <w:szCs w:val="20"/>
          <w:lang w:val="en-US" w:eastAsia="zh-CN"/>
        </w:rPr>
        <w:t xml:space="preserve">Table </w:t>
      </w:r>
      <w:r>
        <w:rPr>
          <w:rFonts w:hint="eastAsia" w:cs="Times New Roman"/>
          <w:iCs/>
          <w:sz w:val="20"/>
          <w:szCs w:val="20"/>
          <w:lang w:val="en-US" w:eastAsia="zh-CN"/>
        </w:rPr>
        <w:t>2</w:t>
      </w:r>
      <w:r>
        <w:rPr>
          <w:rFonts w:hint="eastAsia" w:ascii="Times New Roman" w:hAnsi="Times New Roman" w:cs="Times New Roman"/>
          <w:iCs/>
          <w:sz w:val="20"/>
          <w:szCs w:val="20"/>
          <w:lang w:val="en-US" w:eastAsia="zh-CN"/>
        </w:rPr>
        <w:t>: CQI table for 16QAM</w:t>
      </w:r>
      <w:r>
        <w:rPr>
          <w:rFonts w:hint="eastAsia" w:cs="Times New Roman"/>
          <w:iCs/>
          <w:sz w:val="20"/>
          <w:szCs w:val="20"/>
          <w:lang w:val="en-US" w:eastAsia="zh-CN"/>
        </w:rPr>
        <w:t xml:space="preserve"> for</w:t>
      </w:r>
      <w:r>
        <w:rPr>
          <w:rFonts w:ascii="Times New Roman" w:hAnsi="Times New Roman" w:cs="Times New Roman"/>
          <w:iCs/>
          <w:sz w:val="20"/>
          <w:szCs w:val="20"/>
        </w:rPr>
        <w:t xml:space="preserve"> </w:t>
      </w:r>
      <w:r>
        <w:rPr>
          <w:rFonts w:hint="eastAsia" w:cs="Times New Roman"/>
          <w:iCs/>
          <w:sz w:val="20"/>
          <w:szCs w:val="20"/>
          <w:lang w:val="en-US" w:eastAsia="zh-CN"/>
        </w:rPr>
        <w:t>standalone and guard-band deployments</w:t>
      </w:r>
    </w:p>
    <w:tbl>
      <w:tblPr>
        <w:tblStyle w:val="26"/>
        <w:tblW w:w="8812" w:type="dxa"/>
        <w:jc w:val="center"/>
        <w:tblLayout w:type="autofit"/>
        <w:tblCellMar>
          <w:top w:w="0" w:type="dxa"/>
          <w:left w:w="0" w:type="dxa"/>
          <w:bottom w:w="0" w:type="dxa"/>
          <w:right w:w="0" w:type="dxa"/>
        </w:tblCellMar>
      </w:tblPr>
      <w:tblGrid>
        <w:gridCol w:w="1155"/>
        <w:gridCol w:w="1228"/>
        <w:gridCol w:w="1761"/>
        <w:gridCol w:w="1575"/>
        <w:gridCol w:w="1575"/>
        <w:gridCol w:w="1518"/>
      </w:tblGrid>
      <w:tr>
        <w:tblPrEx>
          <w:tblCellMar>
            <w:top w:w="0" w:type="dxa"/>
            <w:left w:w="0" w:type="dxa"/>
            <w:bottom w:w="0" w:type="dxa"/>
            <w:right w:w="0" w:type="dxa"/>
          </w:tblCellMar>
        </w:tblPrEx>
        <w:trPr>
          <w:jc w:val="center"/>
        </w:trPr>
        <w:tc>
          <w:tcPr>
            <w:tcW w:w="1155" w:type="dxa"/>
            <w:tcBorders>
              <w:top w:val="single" w:color="auto" w:sz="8" w:space="0"/>
              <w:left w:val="single" w:color="auto" w:sz="8" w:space="0"/>
              <w:bottom w:val="double" w:color="auto" w:sz="4" w:space="0"/>
              <w:right w:val="single" w:color="auto" w:sz="8" w:space="0"/>
            </w:tcBorders>
            <w:shd w:val="clear" w:color="auto" w:fill="E0E0E0"/>
            <w:tcMar>
              <w:top w:w="0" w:type="dxa"/>
              <w:left w:w="108" w:type="dxa"/>
              <w:bottom w:w="0" w:type="dxa"/>
              <w:right w:w="108" w:type="dxa"/>
            </w:tcMar>
          </w:tcPr>
          <w:p>
            <w:pPr>
              <w:pStyle w:val="49"/>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right="0"/>
              <w:textAlignment w:val="baseline"/>
              <w:rPr>
                <w:rFonts w:hint="default"/>
              </w:rPr>
            </w:pPr>
            <w:r>
              <w:rPr>
                <w:rFonts w:hint="default"/>
              </w:rPr>
              <w:t>CQI index</w:t>
            </w:r>
          </w:p>
        </w:tc>
        <w:tc>
          <w:tcPr>
            <w:tcW w:w="1228" w:type="dxa"/>
            <w:tcBorders>
              <w:top w:val="single" w:color="auto" w:sz="8" w:space="0"/>
              <w:left w:val="nil"/>
              <w:bottom w:val="double" w:color="auto" w:sz="4" w:space="0"/>
              <w:right w:val="single" w:color="auto" w:sz="8" w:space="0"/>
            </w:tcBorders>
            <w:shd w:val="clear" w:color="auto" w:fill="E0E0E0"/>
            <w:tcMar>
              <w:top w:w="0" w:type="dxa"/>
              <w:left w:w="108" w:type="dxa"/>
              <w:bottom w:w="0" w:type="dxa"/>
              <w:right w:w="108" w:type="dxa"/>
            </w:tcMar>
          </w:tcPr>
          <w:p>
            <w:pPr>
              <w:pStyle w:val="49"/>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right="0"/>
              <w:textAlignment w:val="baseline"/>
              <w:rPr>
                <w:rFonts w:hint="default"/>
              </w:rPr>
            </w:pPr>
            <w:r>
              <w:rPr>
                <w:rFonts w:hint="default"/>
              </w:rPr>
              <w:t>modulation</w:t>
            </w:r>
          </w:p>
        </w:tc>
        <w:tc>
          <w:tcPr>
            <w:tcW w:w="1761" w:type="dxa"/>
            <w:tcBorders>
              <w:top w:val="single" w:color="auto" w:sz="8" w:space="0"/>
              <w:left w:val="nil"/>
              <w:bottom w:val="double" w:color="auto" w:sz="4" w:space="0"/>
              <w:right w:val="single" w:color="auto" w:sz="8" w:space="0"/>
            </w:tcBorders>
            <w:shd w:val="clear" w:color="auto" w:fill="E0E0E0"/>
            <w:tcMar>
              <w:top w:w="0" w:type="dxa"/>
              <w:left w:w="108" w:type="dxa"/>
              <w:bottom w:w="0" w:type="dxa"/>
              <w:right w:w="108" w:type="dxa"/>
            </w:tcMar>
          </w:tcPr>
          <w:p>
            <w:pPr>
              <w:pStyle w:val="49"/>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right="0"/>
              <w:textAlignment w:val="baseline"/>
              <w:rPr>
                <w:rFonts w:hint="default" w:eastAsia="宋体"/>
                <w:lang w:val="en-US" w:eastAsia="zh-CN"/>
              </w:rPr>
            </w:pPr>
            <w:r>
              <w:rPr>
                <w:rFonts w:hint="eastAsia" w:eastAsia="宋体"/>
                <w:lang w:val="en-US" w:eastAsia="zh-CN"/>
              </w:rPr>
              <w:t>TBS index</w:t>
            </w:r>
          </w:p>
        </w:tc>
        <w:tc>
          <w:tcPr>
            <w:tcW w:w="1575" w:type="dxa"/>
            <w:tcBorders>
              <w:top w:val="single" w:color="auto" w:sz="8" w:space="0"/>
              <w:left w:val="nil"/>
              <w:bottom w:val="double" w:color="auto" w:sz="4" w:space="0"/>
              <w:right w:val="single" w:color="auto" w:sz="8" w:space="0"/>
            </w:tcBorders>
            <w:shd w:val="clear" w:color="auto" w:fill="E0E0E0"/>
            <w:tcMar>
              <w:top w:w="0" w:type="dxa"/>
              <w:left w:w="108" w:type="dxa"/>
              <w:bottom w:w="0" w:type="dxa"/>
              <w:right w:w="108" w:type="dxa"/>
            </w:tcMar>
          </w:tcPr>
          <w:p>
            <w:pPr>
              <w:pStyle w:val="49"/>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right="0"/>
              <w:textAlignment w:val="baseline"/>
              <w:rPr>
                <w:rFonts w:hint="default" w:eastAsia="宋体"/>
                <w:lang w:val="en-US" w:eastAsia="zh-CN"/>
              </w:rPr>
            </w:pPr>
            <w:r>
              <w:rPr>
                <w:rFonts w:hint="eastAsia" w:eastAsia="宋体"/>
                <w:lang w:val="en-US" w:eastAsia="zh-CN"/>
              </w:rPr>
              <w:t>Number of repetitions</w:t>
            </w:r>
          </w:p>
        </w:tc>
        <w:tc>
          <w:tcPr>
            <w:tcW w:w="1575" w:type="dxa"/>
            <w:tcBorders>
              <w:top w:val="single" w:color="auto" w:sz="8" w:space="0"/>
              <w:left w:val="nil"/>
              <w:bottom w:val="double" w:color="auto" w:sz="4" w:space="0"/>
              <w:right w:val="single" w:color="auto" w:sz="8" w:space="0"/>
            </w:tcBorders>
            <w:shd w:val="clear" w:color="auto" w:fill="E0E0E0"/>
            <w:tcMar>
              <w:top w:w="0" w:type="dxa"/>
              <w:left w:w="108" w:type="dxa"/>
              <w:bottom w:w="0" w:type="dxa"/>
              <w:right w:w="108" w:type="dxa"/>
            </w:tcMar>
          </w:tcPr>
          <w:p>
            <w:pPr>
              <w:pStyle w:val="49"/>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right="0"/>
              <w:textAlignment w:val="baseline"/>
              <w:rPr>
                <w:rFonts w:hint="default" w:eastAsia="宋体"/>
                <w:color w:val="948A54" w:themeColor="background2" w:themeShade="80"/>
                <w:highlight w:val="none"/>
                <w:lang w:val="en-US" w:eastAsia="zh-CN"/>
              </w:rPr>
            </w:pPr>
            <w:r>
              <w:rPr>
                <w:rFonts w:hint="eastAsia" w:eastAsia="宋体"/>
                <w:color w:val="948A54" w:themeColor="background2" w:themeShade="80"/>
                <w:highlight w:val="none"/>
                <w:lang w:val="en-US" w:eastAsia="zh-CN"/>
              </w:rPr>
              <w:t>SNR at BLER of 10% (dB)</w:t>
            </w:r>
          </w:p>
        </w:tc>
        <w:tc>
          <w:tcPr>
            <w:tcW w:w="1518" w:type="dxa"/>
            <w:tcBorders>
              <w:top w:val="single" w:color="auto" w:sz="8" w:space="0"/>
              <w:left w:val="nil"/>
              <w:bottom w:val="double" w:color="auto" w:sz="4" w:space="0"/>
              <w:right w:val="single" w:color="auto" w:sz="8" w:space="0"/>
            </w:tcBorders>
            <w:shd w:val="clear" w:color="auto" w:fill="E0E0E0"/>
            <w:tcMar>
              <w:top w:w="0" w:type="dxa"/>
              <w:left w:w="108" w:type="dxa"/>
              <w:bottom w:w="0" w:type="dxa"/>
              <w:right w:w="108" w:type="dxa"/>
            </w:tcMar>
          </w:tcPr>
          <w:p>
            <w:pPr>
              <w:pStyle w:val="49"/>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right="0"/>
              <w:textAlignment w:val="baseline"/>
              <w:rPr>
                <w:rFonts w:hint="default" w:eastAsia="宋体"/>
                <w:color w:val="948A54" w:themeColor="background2" w:themeShade="80"/>
                <w:highlight w:val="none"/>
                <w:lang w:val="en-US" w:eastAsia="zh-CN"/>
              </w:rPr>
            </w:pPr>
            <w:r>
              <w:rPr>
                <w:rFonts w:hint="eastAsia" w:eastAsia="宋体"/>
                <w:color w:val="948A54" w:themeColor="background2" w:themeShade="80"/>
                <w:highlight w:val="none"/>
                <w:lang w:val="en-US" w:eastAsia="zh-CN"/>
              </w:rPr>
              <w:t>SNR gap (dB)</w:t>
            </w:r>
          </w:p>
        </w:tc>
      </w:tr>
      <w:tr>
        <w:tblPrEx>
          <w:tblCellMar>
            <w:top w:w="0" w:type="dxa"/>
            <w:left w:w="0" w:type="dxa"/>
            <w:bottom w:w="0" w:type="dxa"/>
            <w:right w:w="0" w:type="dxa"/>
          </w:tblCellMar>
        </w:tblPrEx>
        <w:trPr>
          <w:jc w:val="center"/>
        </w:trPr>
        <w:tc>
          <w:tcPr>
            <w:tcW w:w="1155" w:type="dxa"/>
            <w:tcBorders>
              <w:top w:val="double" w:color="auto" w:sz="4" w:space="0"/>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right="0"/>
              <w:textAlignment w:val="baseline"/>
              <w:rPr>
                <w:rFonts w:hint="default"/>
              </w:rPr>
            </w:pPr>
            <w:r>
              <w:rPr>
                <w:rFonts w:hint="default"/>
              </w:rPr>
              <w:t>0</w:t>
            </w:r>
          </w:p>
        </w:tc>
        <w:tc>
          <w:tcPr>
            <w:tcW w:w="4564" w:type="dxa"/>
            <w:gridSpan w:val="3"/>
            <w:tcBorders>
              <w:top w:val="nil"/>
              <w:left w:val="nil"/>
              <w:bottom w:val="single" w:color="auto" w:sz="8" w:space="0"/>
              <w:right w:val="single" w:color="auto" w:sz="8" w:space="0"/>
            </w:tcBorders>
            <w:tcMar>
              <w:top w:w="0" w:type="dxa"/>
              <w:left w:w="108" w:type="dxa"/>
              <w:bottom w:w="0" w:type="dxa"/>
              <w:right w:w="108" w:type="dxa"/>
            </w:tcMar>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right="0"/>
              <w:textAlignment w:val="baseline"/>
              <w:rPr>
                <w:rFonts w:hint="default"/>
              </w:rPr>
            </w:pPr>
            <w:r>
              <w:rPr>
                <w:rFonts w:hint="default"/>
              </w:rPr>
              <w:t>out of range</w:t>
            </w:r>
          </w:p>
        </w:tc>
        <w:tc>
          <w:tcPr>
            <w:tcW w:w="1575" w:type="dxa"/>
            <w:tcBorders>
              <w:top w:val="nil"/>
              <w:left w:val="nil"/>
              <w:bottom w:val="single" w:color="auto" w:sz="8" w:space="0"/>
              <w:right w:val="single" w:color="auto" w:sz="8" w:space="0"/>
            </w:tcBorders>
            <w:tcMar>
              <w:top w:w="0" w:type="dxa"/>
              <w:left w:w="108" w:type="dxa"/>
              <w:bottom w:w="0" w:type="dxa"/>
              <w:right w:w="108" w:type="dxa"/>
            </w:tcMar>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right="0"/>
              <w:textAlignment w:val="baseline"/>
              <w:rPr>
                <w:rFonts w:hint="default"/>
                <w:color w:val="948A54" w:themeColor="background2" w:themeShade="80"/>
                <w:highlight w:val="none"/>
              </w:rPr>
            </w:pPr>
          </w:p>
        </w:tc>
        <w:tc>
          <w:tcPr>
            <w:tcW w:w="1518" w:type="dxa"/>
            <w:tcBorders>
              <w:top w:val="nil"/>
              <w:left w:val="nil"/>
              <w:bottom w:val="single" w:color="auto" w:sz="8" w:space="0"/>
              <w:right w:val="single" w:color="auto" w:sz="8" w:space="0"/>
            </w:tcBorders>
            <w:tcMar>
              <w:top w:w="0" w:type="dxa"/>
              <w:left w:w="108" w:type="dxa"/>
              <w:bottom w:w="0" w:type="dxa"/>
              <w:right w:w="108" w:type="dxa"/>
            </w:tcMar>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right="0"/>
              <w:textAlignment w:val="baseline"/>
              <w:rPr>
                <w:rFonts w:hint="default"/>
                <w:color w:val="948A54" w:themeColor="background2" w:themeShade="80"/>
                <w:highlight w:val="none"/>
              </w:rPr>
            </w:pPr>
          </w:p>
        </w:tc>
      </w:tr>
      <w:tr>
        <w:tblPrEx>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right="0"/>
              <w:textAlignment w:val="baseline"/>
              <w:rPr>
                <w:rFonts w:hint="default"/>
              </w:rPr>
            </w:pPr>
            <w:r>
              <w:rPr>
                <w:rFonts w:hint="default"/>
              </w:rPr>
              <w:t>1</w:t>
            </w:r>
          </w:p>
        </w:tc>
        <w:tc>
          <w:tcPr>
            <w:tcW w:w="1228" w:type="dxa"/>
            <w:tcBorders>
              <w:top w:val="nil"/>
              <w:left w:val="nil"/>
              <w:bottom w:val="single" w:color="auto" w:sz="8" w:space="0"/>
              <w:right w:val="single" w:color="auto" w:sz="8" w:space="0"/>
            </w:tcBorders>
            <w:tcMar>
              <w:top w:w="0" w:type="dxa"/>
              <w:left w:w="108" w:type="dxa"/>
              <w:bottom w:w="0" w:type="dxa"/>
              <w:right w:w="108" w:type="dxa"/>
            </w:tcMar>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right="0"/>
              <w:textAlignment w:val="baseline"/>
              <w:rPr>
                <w:rFonts w:hint="default" w:eastAsia="宋体"/>
                <w:lang w:val="en-US" w:eastAsia="zh-CN"/>
              </w:rPr>
            </w:pPr>
            <w:r>
              <w:rPr>
                <w:rFonts w:hint="eastAsia" w:eastAsia="宋体"/>
                <w:lang w:val="en-US" w:eastAsia="zh-CN"/>
              </w:rPr>
              <w:t>QPSK</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right="0"/>
              <w:textAlignment w:val="baseline"/>
              <w:rPr>
                <w:rFonts w:hint="default" w:eastAsia="宋体"/>
                <w:lang w:val="en-US" w:eastAsia="zh-CN"/>
              </w:rPr>
            </w:pPr>
            <w:r>
              <w:rPr>
                <w:rFonts w:hint="eastAsia" w:eastAsia="宋体"/>
                <w:lang w:val="en-US" w:eastAsia="zh-CN"/>
              </w:rPr>
              <w:t>0</w:t>
            </w:r>
          </w:p>
        </w:tc>
        <w:tc>
          <w:tcPr>
            <w:tcW w:w="1575" w:type="dxa"/>
            <w:tcBorders>
              <w:top w:val="nil"/>
              <w:left w:val="nil"/>
              <w:bottom w:val="single" w:color="auto" w:sz="8" w:space="0"/>
              <w:right w:val="single" w:color="auto" w:sz="8" w:space="0"/>
            </w:tcBorders>
            <w:tcMar>
              <w:top w:w="0" w:type="dxa"/>
              <w:left w:w="108" w:type="dxa"/>
              <w:bottom w:w="0" w:type="dxa"/>
              <w:right w:w="108" w:type="dxa"/>
            </w:tcMar>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right="0"/>
              <w:textAlignment w:val="baseline"/>
              <w:rPr>
                <w:rFonts w:hint="default" w:eastAsia="宋体"/>
                <w:lang w:val="en-US" w:eastAsia="zh-CN"/>
              </w:rPr>
            </w:pPr>
            <w:r>
              <w:rPr>
                <w:rFonts w:hint="eastAsia" w:eastAsia="宋体"/>
                <w:lang w:val="en-US" w:eastAsia="zh-CN"/>
              </w:rPr>
              <w:t>16</w:t>
            </w:r>
          </w:p>
        </w:tc>
        <w:tc>
          <w:tcPr>
            <w:tcW w:w="1575" w:type="dxa"/>
            <w:tcBorders>
              <w:top w:val="nil"/>
              <w:left w:val="nil"/>
              <w:bottom w:val="single" w:color="auto" w:sz="8" w:space="0"/>
              <w:right w:val="single" w:color="auto" w:sz="8" w:space="0"/>
            </w:tcBorders>
            <w:tcMar>
              <w:top w:w="0" w:type="dxa"/>
              <w:left w:w="108" w:type="dxa"/>
              <w:bottom w:w="0" w:type="dxa"/>
              <w:right w:w="108" w:type="dxa"/>
            </w:tcMar>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right="0"/>
              <w:textAlignment w:val="baseline"/>
              <w:rPr>
                <w:rFonts w:hint="default" w:eastAsia="宋体"/>
                <w:color w:val="948A54" w:themeColor="background2" w:themeShade="80"/>
                <w:highlight w:val="none"/>
                <w:lang w:val="en-US" w:eastAsia="zh-CN"/>
              </w:rPr>
            </w:pPr>
            <w:r>
              <w:rPr>
                <w:rFonts w:hint="eastAsia" w:eastAsia="宋体"/>
                <w:color w:val="948A54" w:themeColor="background2" w:themeShade="80"/>
                <w:highlight w:val="none"/>
                <w:lang w:val="en-US" w:eastAsia="zh-CN"/>
              </w:rPr>
              <w:t>-17.4</w:t>
            </w:r>
          </w:p>
        </w:tc>
        <w:tc>
          <w:tcPr>
            <w:tcW w:w="1518" w:type="dxa"/>
            <w:tcBorders>
              <w:top w:val="nil"/>
              <w:left w:val="nil"/>
              <w:bottom w:val="single" w:color="auto" w:sz="8" w:space="0"/>
              <w:right w:val="single" w:color="auto" w:sz="8" w:space="0"/>
            </w:tcBorders>
            <w:tcMar>
              <w:top w:w="0" w:type="dxa"/>
              <w:left w:w="108" w:type="dxa"/>
              <w:bottom w:w="0" w:type="dxa"/>
              <w:right w:w="108" w:type="dxa"/>
            </w:tcMar>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right="0"/>
              <w:textAlignment w:val="baseline"/>
              <w:rPr>
                <w:rFonts w:hint="default" w:eastAsia="宋体"/>
                <w:color w:val="948A54" w:themeColor="background2" w:themeShade="80"/>
                <w:highlight w:val="none"/>
                <w:lang w:val="en-US" w:eastAsia="zh-CN"/>
              </w:rPr>
            </w:pPr>
            <w:r>
              <w:rPr>
                <w:rFonts w:hint="eastAsia" w:eastAsia="宋体"/>
                <w:color w:val="948A54" w:themeColor="background2" w:themeShade="80"/>
                <w:highlight w:val="none"/>
                <w:lang w:val="en-US" w:eastAsia="zh-CN"/>
              </w:rPr>
              <w:t>-</w:t>
            </w:r>
          </w:p>
        </w:tc>
      </w:tr>
      <w:tr>
        <w:tblPrEx>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right="0"/>
              <w:textAlignment w:val="baseline"/>
              <w:rPr>
                <w:rFonts w:hint="default"/>
              </w:rPr>
            </w:pPr>
            <w:r>
              <w:rPr>
                <w:rFonts w:hint="default"/>
              </w:rPr>
              <w:t>2</w:t>
            </w:r>
          </w:p>
        </w:tc>
        <w:tc>
          <w:tcPr>
            <w:tcW w:w="1228" w:type="dxa"/>
            <w:tcBorders>
              <w:top w:val="nil"/>
              <w:left w:val="nil"/>
              <w:bottom w:val="single" w:color="auto" w:sz="8" w:space="0"/>
              <w:right w:val="single" w:color="auto" w:sz="8" w:space="0"/>
            </w:tcBorders>
            <w:tcMar>
              <w:top w:w="0" w:type="dxa"/>
              <w:left w:w="108" w:type="dxa"/>
              <w:bottom w:w="0" w:type="dxa"/>
              <w:right w:w="108" w:type="dxa"/>
            </w:tcMar>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right="0"/>
              <w:textAlignment w:val="baseline"/>
              <w:rPr>
                <w:rFonts w:hint="default" w:eastAsia="宋体"/>
                <w:lang w:val="en-US" w:eastAsia="zh-CN"/>
              </w:rPr>
            </w:pPr>
            <w:r>
              <w:rPr>
                <w:rFonts w:hint="eastAsia" w:eastAsia="宋体"/>
                <w:lang w:val="en-US" w:eastAsia="zh-CN"/>
              </w:rPr>
              <w:t>QPSK</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right="0"/>
              <w:textAlignment w:val="baseline"/>
              <w:rPr>
                <w:rFonts w:hint="default" w:eastAsia="宋体"/>
                <w:lang w:val="en-US" w:eastAsia="zh-CN"/>
              </w:rPr>
            </w:pPr>
            <w:r>
              <w:rPr>
                <w:rFonts w:hint="eastAsia" w:eastAsia="宋体"/>
                <w:lang w:val="en-US" w:eastAsia="zh-CN"/>
              </w:rPr>
              <w:t>0</w:t>
            </w:r>
          </w:p>
        </w:tc>
        <w:tc>
          <w:tcPr>
            <w:tcW w:w="1575" w:type="dxa"/>
            <w:tcBorders>
              <w:top w:val="nil"/>
              <w:left w:val="nil"/>
              <w:bottom w:val="single" w:color="auto" w:sz="8" w:space="0"/>
              <w:right w:val="single" w:color="auto" w:sz="8" w:space="0"/>
            </w:tcBorders>
            <w:tcMar>
              <w:top w:w="0" w:type="dxa"/>
              <w:left w:w="108" w:type="dxa"/>
              <w:bottom w:w="0" w:type="dxa"/>
              <w:right w:w="108" w:type="dxa"/>
            </w:tcMar>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right="0"/>
              <w:textAlignment w:val="baseline"/>
              <w:rPr>
                <w:rFonts w:hint="default" w:eastAsia="宋体"/>
                <w:lang w:val="en-US" w:eastAsia="zh-CN"/>
              </w:rPr>
            </w:pPr>
            <w:r>
              <w:rPr>
                <w:rFonts w:hint="eastAsia" w:eastAsia="宋体"/>
                <w:lang w:val="en-US" w:eastAsia="zh-CN"/>
              </w:rPr>
              <w:t>8</w:t>
            </w:r>
          </w:p>
        </w:tc>
        <w:tc>
          <w:tcPr>
            <w:tcW w:w="1575" w:type="dxa"/>
            <w:tcBorders>
              <w:top w:val="nil"/>
              <w:left w:val="nil"/>
              <w:bottom w:val="single" w:color="auto" w:sz="8" w:space="0"/>
              <w:right w:val="single" w:color="auto" w:sz="8" w:space="0"/>
            </w:tcBorders>
            <w:tcMar>
              <w:top w:w="0" w:type="dxa"/>
              <w:left w:w="108" w:type="dxa"/>
              <w:bottom w:w="0" w:type="dxa"/>
              <w:right w:w="108" w:type="dxa"/>
            </w:tcMar>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right="0"/>
              <w:textAlignment w:val="baseline"/>
              <w:rPr>
                <w:rFonts w:hint="default" w:eastAsia="宋体"/>
                <w:color w:val="948A54" w:themeColor="background2" w:themeShade="80"/>
                <w:highlight w:val="none"/>
                <w:lang w:val="en-US" w:eastAsia="zh-CN"/>
              </w:rPr>
            </w:pPr>
            <w:r>
              <w:rPr>
                <w:rFonts w:hint="eastAsia" w:eastAsia="宋体"/>
                <w:color w:val="948A54" w:themeColor="background2" w:themeShade="80"/>
                <w:highlight w:val="none"/>
                <w:lang w:val="en-US" w:eastAsia="zh-CN"/>
              </w:rPr>
              <w:t>-14.4</w:t>
            </w:r>
          </w:p>
        </w:tc>
        <w:tc>
          <w:tcPr>
            <w:tcW w:w="1518" w:type="dxa"/>
            <w:tcBorders>
              <w:top w:val="nil"/>
              <w:left w:val="nil"/>
              <w:bottom w:val="single" w:color="auto" w:sz="8" w:space="0"/>
              <w:right w:val="single" w:color="auto" w:sz="8" w:space="0"/>
            </w:tcBorders>
            <w:tcMar>
              <w:top w:w="0" w:type="dxa"/>
              <w:left w:w="108" w:type="dxa"/>
              <w:bottom w:w="0" w:type="dxa"/>
              <w:right w:w="108" w:type="dxa"/>
            </w:tcMar>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right="0"/>
              <w:textAlignment w:val="baseline"/>
              <w:rPr>
                <w:rFonts w:hint="default" w:eastAsia="宋体"/>
                <w:color w:val="948A54" w:themeColor="background2" w:themeShade="80"/>
                <w:highlight w:val="none"/>
                <w:lang w:val="en-US" w:eastAsia="zh-CN"/>
              </w:rPr>
            </w:pPr>
            <w:r>
              <w:rPr>
                <w:rFonts w:hint="eastAsia" w:eastAsia="宋体"/>
                <w:color w:val="948A54" w:themeColor="background2" w:themeShade="80"/>
                <w:highlight w:val="none"/>
                <w:lang w:val="en-US" w:eastAsia="zh-CN"/>
              </w:rPr>
              <w:t>3</w:t>
            </w:r>
          </w:p>
        </w:tc>
      </w:tr>
      <w:tr>
        <w:tblPrEx>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right="0"/>
              <w:textAlignment w:val="baseline"/>
              <w:rPr>
                <w:rFonts w:hint="default"/>
              </w:rPr>
            </w:pPr>
            <w:r>
              <w:rPr>
                <w:rFonts w:hint="default"/>
              </w:rPr>
              <w:t>3</w:t>
            </w:r>
          </w:p>
        </w:tc>
        <w:tc>
          <w:tcPr>
            <w:tcW w:w="1228" w:type="dxa"/>
            <w:tcBorders>
              <w:top w:val="nil"/>
              <w:left w:val="nil"/>
              <w:bottom w:val="single" w:color="auto" w:sz="8" w:space="0"/>
              <w:right w:val="single" w:color="auto" w:sz="8" w:space="0"/>
            </w:tcBorders>
            <w:tcMar>
              <w:top w:w="0" w:type="dxa"/>
              <w:left w:w="108" w:type="dxa"/>
              <w:bottom w:w="0" w:type="dxa"/>
              <w:right w:w="108" w:type="dxa"/>
            </w:tcMar>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right="0"/>
              <w:textAlignment w:val="baseline"/>
              <w:rPr>
                <w:rFonts w:hint="default" w:eastAsia="宋体"/>
                <w:lang w:val="en-US" w:eastAsia="zh-CN"/>
              </w:rPr>
            </w:pPr>
            <w:r>
              <w:rPr>
                <w:rFonts w:hint="eastAsia" w:eastAsia="宋体"/>
                <w:lang w:val="en-US" w:eastAsia="zh-CN"/>
              </w:rPr>
              <w:t>QPSK</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right="0"/>
              <w:textAlignment w:val="baseline"/>
              <w:rPr>
                <w:rFonts w:hint="default" w:eastAsia="宋体"/>
                <w:lang w:val="en-US" w:eastAsia="zh-CN"/>
              </w:rPr>
            </w:pPr>
            <w:r>
              <w:rPr>
                <w:rFonts w:hint="eastAsia" w:eastAsia="宋体"/>
                <w:lang w:val="en-US" w:eastAsia="zh-CN"/>
              </w:rPr>
              <w:t>0</w:t>
            </w:r>
          </w:p>
        </w:tc>
        <w:tc>
          <w:tcPr>
            <w:tcW w:w="1575" w:type="dxa"/>
            <w:tcBorders>
              <w:top w:val="nil"/>
              <w:left w:val="nil"/>
              <w:bottom w:val="single" w:color="auto" w:sz="8" w:space="0"/>
              <w:right w:val="single" w:color="auto" w:sz="8" w:space="0"/>
            </w:tcBorders>
            <w:tcMar>
              <w:top w:w="0" w:type="dxa"/>
              <w:left w:w="108" w:type="dxa"/>
              <w:bottom w:w="0" w:type="dxa"/>
              <w:right w:w="108" w:type="dxa"/>
            </w:tcMar>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right="0"/>
              <w:textAlignment w:val="baseline"/>
              <w:rPr>
                <w:rFonts w:hint="default" w:eastAsia="宋体"/>
                <w:lang w:val="en-US" w:eastAsia="zh-CN"/>
              </w:rPr>
            </w:pPr>
            <w:r>
              <w:rPr>
                <w:rFonts w:hint="eastAsia" w:eastAsia="宋体"/>
                <w:lang w:val="en-US" w:eastAsia="zh-CN"/>
              </w:rPr>
              <w:t>4</w:t>
            </w:r>
          </w:p>
        </w:tc>
        <w:tc>
          <w:tcPr>
            <w:tcW w:w="1575" w:type="dxa"/>
            <w:tcBorders>
              <w:top w:val="nil"/>
              <w:left w:val="nil"/>
              <w:bottom w:val="single" w:color="auto" w:sz="8" w:space="0"/>
              <w:right w:val="single" w:color="auto" w:sz="8" w:space="0"/>
            </w:tcBorders>
            <w:tcMar>
              <w:top w:w="0" w:type="dxa"/>
              <w:left w:w="108" w:type="dxa"/>
              <w:bottom w:w="0" w:type="dxa"/>
              <w:right w:w="108" w:type="dxa"/>
            </w:tcMar>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right="0"/>
              <w:textAlignment w:val="baseline"/>
              <w:rPr>
                <w:rFonts w:hint="default" w:eastAsia="宋体"/>
                <w:color w:val="948A54" w:themeColor="background2" w:themeShade="80"/>
                <w:highlight w:val="none"/>
                <w:lang w:val="en-US" w:eastAsia="zh-CN"/>
              </w:rPr>
            </w:pPr>
            <w:r>
              <w:rPr>
                <w:rFonts w:hint="eastAsia" w:eastAsia="宋体"/>
                <w:color w:val="948A54" w:themeColor="background2" w:themeShade="80"/>
                <w:highlight w:val="none"/>
                <w:lang w:val="en-US" w:eastAsia="zh-CN"/>
              </w:rPr>
              <w:t>-11.4</w:t>
            </w:r>
          </w:p>
        </w:tc>
        <w:tc>
          <w:tcPr>
            <w:tcW w:w="1518" w:type="dxa"/>
            <w:tcBorders>
              <w:top w:val="nil"/>
              <w:left w:val="nil"/>
              <w:bottom w:val="single" w:color="auto" w:sz="8" w:space="0"/>
              <w:right w:val="single" w:color="auto" w:sz="8" w:space="0"/>
            </w:tcBorders>
            <w:tcMar>
              <w:top w:w="0" w:type="dxa"/>
              <w:left w:w="108" w:type="dxa"/>
              <w:bottom w:w="0" w:type="dxa"/>
              <w:right w:w="108" w:type="dxa"/>
            </w:tcMar>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right="0"/>
              <w:textAlignment w:val="baseline"/>
              <w:rPr>
                <w:rFonts w:hint="default" w:eastAsia="宋体"/>
                <w:color w:val="948A54" w:themeColor="background2" w:themeShade="80"/>
                <w:highlight w:val="none"/>
                <w:lang w:val="en-US" w:eastAsia="zh-CN"/>
              </w:rPr>
            </w:pPr>
            <w:r>
              <w:rPr>
                <w:rFonts w:hint="eastAsia" w:eastAsia="宋体"/>
                <w:color w:val="948A54" w:themeColor="background2" w:themeShade="80"/>
                <w:highlight w:val="none"/>
                <w:lang w:val="en-US" w:eastAsia="zh-CN"/>
              </w:rPr>
              <w:t>3</w:t>
            </w:r>
          </w:p>
        </w:tc>
      </w:tr>
      <w:tr>
        <w:tblPrEx>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right="0"/>
              <w:textAlignment w:val="baseline"/>
              <w:rPr>
                <w:rFonts w:hint="default"/>
              </w:rPr>
            </w:pPr>
            <w:r>
              <w:rPr>
                <w:rFonts w:hint="default"/>
              </w:rPr>
              <w:t>4</w:t>
            </w:r>
          </w:p>
        </w:tc>
        <w:tc>
          <w:tcPr>
            <w:tcW w:w="1228" w:type="dxa"/>
            <w:tcBorders>
              <w:top w:val="nil"/>
              <w:left w:val="nil"/>
              <w:bottom w:val="single" w:color="auto" w:sz="8" w:space="0"/>
              <w:right w:val="single" w:color="auto" w:sz="8" w:space="0"/>
            </w:tcBorders>
            <w:tcMar>
              <w:top w:w="0" w:type="dxa"/>
              <w:left w:w="108" w:type="dxa"/>
              <w:bottom w:w="0" w:type="dxa"/>
              <w:right w:w="108" w:type="dxa"/>
            </w:tcMar>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right="0"/>
              <w:textAlignment w:val="baseline"/>
              <w:rPr>
                <w:rFonts w:hint="default" w:eastAsia="宋体"/>
                <w:lang w:val="en-US" w:eastAsia="zh-CN"/>
              </w:rPr>
            </w:pPr>
            <w:r>
              <w:rPr>
                <w:rFonts w:hint="eastAsia" w:eastAsia="宋体"/>
                <w:lang w:val="en-US" w:eastAsia="zh-CN"/>
              </w:rPr>
              <w:t>QPSK</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right="0"/>
              <w:textAlignment w:val="baseline"/>
              <w:rPr>
                <w:rFonts w:hint="default" w:eastAsia="宋体"/>
                <w:lang w:val="en-US" w:eastAsia="zh-CN"/>
              </w:rPr>
            </w:pPr>
            <w:r>
              <w:rPr>
                <w:rFonts w:hint="eastAsia" w:eastAsia="宋体"/>
                <w:lang w:val="en-US" w:eastAsia="zh-CN"/>
              </w:rPr>
              <w:t>0</w:t>
            </w:r>
          </w:p>
        </w:tc>
        <w:tc>
          <w:tcPr>
            <w:tcW w:w="1575" w:type="dxa"/>
            <w:tcBorders>
              <w:top w:val="nil"/>
              <w:left w:val="nil"/>
              <w:bottom w:val="single" w:color="auto" w:sz="8" w:space="0"/>
              <w:right w:val="single" w:color="auto" w:sz="8" w:space="0"/>
            </w:tcBorders>
            <w:tcMar>
              <w:top w:w="0" w:type="dxa"/>
              <w:left w:w="108" w:type="dxa"/>
              <w:bottom w:w="0" w:type="dxa"/>
              <w:right w:w="108" w:type="dxa"/>
            </w:tcMar>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right="0"/>
              <w:textAlignment w:val="baseline"/>
              <w:rPr>
                <w:rFonts w:hint="default" w:eastAsia="宋体"/>
                <w:lang w:val="en-US" w:eastAsia="zh-CN"/>
              </w:rPr>
            </w:pPr>
            <w:r>
              <w:rPr>
                <w:rFonts w:hint="eastAsia" w:eastAsia="宋体"/>
                <w:lang w:val="en-US" w:eastAsia="zh-CN"/>
              </w:rPr>
              <w:t>2</w:t>
            </w:r>
          </w:p>
        </w:tc>
        <w:tc>
          <w:tcPr>
            <w:tcW w:w="1575" w:type="dxa"/>
            <w:tcBorders>
              <w:top w:val="nil"/>
              <w:left w:val="nil"/>
              <w:bottom w:val="single" w:color="auto" w:sz="8" w:space="0"/>
              <w:right w:val="single" w:color="auto" w:sz="8" w:space="0"/>
            </w:tcBorders>
            <w:tcMar>
              <w:top w:w="0" w:type="dxa"/>
              <w:left w:w="108" w:type="dxa"/>
              <w:bottom w:w="0" w:type="dxa"/>
              <w:right w:w="108" w:type="dxa"/>
            </w:tcMar>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right="0"/>
              <w:textAlignment w:val="baseline"/>
              <w:rPr>
                <w:rFonts w:hint="default" w:eastAsia="宋体"/>
                <w:color w:val="948A54" w:themeColor="background2" w:themeShade="80"/>
                <w:highlight w:val="none"/>
                <w:lang w:val="en-US" w:eastAsia="zh-CN"/>
              </w:rPr>
            </w:pPr>
            <w:r>
              <w:rPr>
                <w:rFonts w:hint="eastAsia" w:eastAsia="宋体"/>
                <w:color w:val="948A54" w:themeColor="background2" w:themeShade="80"/>
                <w:highlight w:val="none"/>
                <w:lang w:val="en-US" w:eastAsia="zh-CN"/>
              </w:rPr>
              <w:t>-8.4</w:t>
            </w:r>
          </w:p>
        </w:tc>
        <w:tc>
          <w:tcPr>
            <w:tcW w:w="1518" w:type="dxa"/>
            <w:tcBorders>
              <w:top w:val="nil"/>
              <w:left w:val="nil"/>
              <w:bottom w:val="single" w:color="auto" w:sz="8" w:space="0"/>
              <w:right w:val="single" w:color="auto" w:sz="8" w:space="0"/>
            </w:tcBorders>
            <w:tcMar>
              <w:top w:w="0" w:type="dxa"/>
              <w:left w:w="108" w:type="dxa"/>
              <w:bottom w:w="0" w:type="dxa"/>
              <w:right w:w="108" w:type="dxa"/>
            </w:tcMar>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right="0"/>
              <w:textAlignment w:val="baseline"/>
              <w:rPr>
                <w:rFonts w:hint="default" w:eastAsia="宋体"/>
                <w:color w:val="948A54" w:themeColor="background2" w:themeShade="80"/>
                <w:highlight w:val="none"/>
                <w:lang w:val="en-US" w:eastAsia="zh-CN"/>
              </w:rPr>
            </w:pPr>
            <w:r>
              <w:rPr>
                <w:rFonts w:hint="eastAsia" w:eastAsia="宋体"/>
                <w:color w:val="948A54" w:themeColor="background2" w:themeShade="80"/>
                <w:highlight w:val="none"/>
                <w:lang w:val="en-US" w:eastAsia="zh-CN"/>
              </w:rPr>
              <w:t>3</w:t>
            </w:r>
          </w:p>
        </w:tc>
      </w:tr>
      <w:tr>
        <w:tblPrEx>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right="0"/>
              <w:textAlignment w:val="baseline"/>
              <w:rPr>
                <w:rFonts w:hint="default"/>
              </w:rPr>
            </w:pPr>
            <w:r>
              <w:rPr>
                <w:rFonts w:hint="default"/>
              </w:rPr>
              <w:t>5</w:t>
            </w:r>
          </w:p>
        </w:tc>
        <w:tc>
          <w:tcPr>
            <w:tcW w:w="1228" w:type="dxa"/>
            <w:tcBorders>
              <w:top w:val="nil"/>
              <w:left w:val="nil"/>
              <w:bottom w:val="single" w:color="auto" w:sz="8" w:space="0"/>
              <w:right w:val="single" w:color="auto" w:sz="8" w:space="0"/>
            </w:tcBorders>
            <w:tcMar>
              <w:top w:w="0" w:type="dxa"/>
              <w:left w:w="108" w:type="dxa"/>
              <w:bottom w:w="0" w:type="dxa"/>
              <w:right w:w="108" w:type="dxa"/>
            </w:tcMar>
            <w:vAlign w:val="top"/>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leftChars="0" w:right="0" w:rightChars="0"/>
              <w:textAlignment w:val="baseline"/>
              <w:rPr>
                <w:rFonts w:hint="default" w:ascii="Arial" w:hAnsi="Arial" w:eastAsia="Times New Roman" w:cs="Times New Roman"/>
                <w:sz w:val="18"/>
                <w:szCs w:val="20"/>
                <w:lang w:val="en-GB" w:eastAsia="en-GB" w:bidi="ar-SA"/>
              </w:rPr>
            </w:pPr>
            <w:r>
              <w:rPr>
                <w:rFonts w:hint="default"/>
              </w:rPr>
              <w:t>Q</w:t>
            </w:r>
            <w:r>
              <w:rPr>
                <w:rFonts w:hint="eastAsia"/>
              </w:rPr>
              <w:t>PSK</w:t>
            </w:r>
          </w:p>
        </w:tc>
        <w:tc>
          <w:tcPr>
            <w:tcW w:w="1761" w:type="dxa"/>
            <w:tcBorders>
              <w:top w:val="nil"/>
              <w:left w:val="nil"/>
              <w:bottom w:val="single" w:color="auto" w:sz="8" w:space="0"/>
              <w:right w:val="single" w:color="auto" w:sz="8" w:space="0"/>
            </w:tcBorders>
            <w:tcMar>
              <w:top w:w="0" w:type="dxa"/>
              <w:left w:w="108" w:type="dxa"/>
              <w:bottom w:w="0" w:type="dxa"/>
              <w:right w:w="108" w:type="dxa"/>
            </w:tcMar>
            <w:vAlign w:val="top"/>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leftChars="0" w:right="0" w:rightChars="0"/>
              <w:textAlignment w:val="baseline"/>
              <w:rPr>
                <w:rFonts w:hint="eastAsia" w:ascii="Arial" w:hAnsi="Arial" w:eastAsia="宋体" w:cs="Times New Roman"/>
                <w:sz w:val="18"/>
                <w:szCs w:val="20"/>
                <w:lang w:val="en-US" w:eastAsia="zh-CN" w:bidi="ar-SA"/>
              </w:rPr>
            </w:pPr>
            <w:r>
              <w:rPr>
                <w:rFonts w:hint="eastAsia" w:eastAsia="宋体"/>
                <w:lang w:val="en-US" w:eastAsia="zh-CN"/>
              </w:rPr>
              <w:t>0</w:t>
            </w:r>
          </w:p>
        </w:tc>
        <w:tc>
          <w:tcPr>
            <w:tcW w:w="1575" w:type="dxa"/>
            <w:tcBorders>
              <w:top w:val="nil"/>
              <w:left w:val="nil"/>
              <w:bottom w:val="single" w:color="auto" w:sz="8" w:space="0"/>
              <w:right w:val="single" w:color="auto" w:sz="8" w:space="0"/>
            </w:tcBorders>
            <w:tcMar>
              <w:top w:w="0" w:type="dxa"/>
              <w:left w:w="108" w:type="dxa"/>
              <w:bottom w:w="0" w:type="dxa"/>
              <w:right w:w="108" w:type="dxa"/>
            </w:tcMar>
            <w:vAlign w:val="top"/>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leftChars="0" w:right="0" w:rightChars="0"/>
              <w:textAlignment w:val="baseline"/>
              <w:rPr>
                <w:rFonts w:hint="default" w:eastAsia="宋体"/>
                <w:lang w:val="en-US" w:eastAsia="zh-CN"/>
              </w:rPr>
            </w:pPr>
            <w:r>
              <w:rPr>
                <w:rFonts w:hint="eastAsia" w:eastAsia="宋体"/>
                <w:lang w:val="en-US" w:eastAsia="zh-CN"/>
              </w:rPr>
              <w:t>1</w:t>
            </w:r>
          </w:p>
        </w:tc>
        <w:tc>
          <w:tcPr>
            <w:tcW w:w="1575" w:type="dxa"/>
            <w:tcBorders>
              <w:top w:val="nil"/>
              <w:left w:val="nil"/>
              <w:bottom w:val="single" w:color="auto" w:sz="8" w:space="0"/>
              <w:right w:val="single" w:color="auto" w:sz="8" w:space="0"/>
            </w:tcBorders>
            <w:tcMar>
              <w:top w:w="0" w:type="dxa"/>
              <w:left w:w="108" w:type="dxa"/>
              <w:bottom w:w="0" w:type="dxa"/>
              <w:right w:w="108" w:type="dxa"/>
            </w:tcMar>
            <w:vAlign w:val="top"/>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leftChars="0" w:right="0" w:rightChars="0"/>
              <w:textAlignment w:val="baseline"/>
              <w:rPr>
                <w:rFonts w:hint="eastAsia" w:ascii="Arial" w:hAnsi="Arial" w:eastAsia="宋体" w:cs="Times New Roman"/>
                <w:color w:val="948A54" w:themeColor="background2" w:themeShade="80"/>
                <w:sz w:val="18"/>
                <w:szCs w:val="20"/>
                <w:highlight w:val="none"/>
                <w:lang w:val="en-US" w:eastAsia="zh-CN" w:bidi="ar-SA"/>
              </w:rPr>
            </w:pPr>
            <w:r>
              <w:rPr>
                <w:rFonts w:hint="eastAsia" w:eastAsia="宋体" w:cs="Times New Roman"/>
                <w:color w:val="948A54" w:themeColor="background2" w:themeShade="80"/>
                <w:sz w:val="18"/>
                <w:szCs w:val="20"/>
                <w:highlight w:val="none"/>
                <w:lang w:val="en-US" w:eastAsia="zh-CN" w:bidi="ar-SA"/>
              </w:rPr>
              <w:t>-5.4</w:t>
            </w:r>
          </w:p>
        </w:tc>
        <w:tc>
          <w:tcPr>
            <w:tcW w:w="1518" w:type="dxa"/>
            <w:tcBorders>
              <w:top w:val="nil"/>
              <w:left w:val="nil"/>
              <w:bottom w:val="single" w:color="auto" w:sz="8" w:space="0"/>
              <w:right w:val="single" w:color="auto" w:sz="8" w:space="0"/>
            </w:tcBorders>
            <w:tcMar>
              <w:top w:w="0" w:type="dxa"/>
              <w:left w:w="108" w:type="dxa"/>
              <w:bottom w:w="0" w:type="dxa"/>
              <w:right w:w="108" w:type="dxa"/>
            </w:tcMar>
            <w:vAlign w:val="top"/>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leftChars="0" w:right="0" w:rightChars="0"/>
              <w:textAlignment w:val="baseline"/>
              <w:rPr>
                <w:rFonts w:hint="default" w:ascii="Arial" w:hAnsi="Arial" w:eastAsia="宋体" w:cs="Times New Roman"/>
                <w:color w:val="948A54" w:themeColor="background2" w:themeShade="80"/>
                <w:sz w:val="18"/>
                <w:szCs w:val="20"/>
                <w:highlight w:val="none"/>
                <w:lang w:val="en-US" w:eastAsia="zh-CN" w:bidi="ar-SA"/>
              </w:rPr>
            </w:pPr>
            <w:r>
              <w:rPr>
                <w:rFonts w:hint="eastAsia" w:eastAsia="宋体" w:cs="Times New Roman"/>
                <w:color w:val="948A54" w:themeColor="background2" w:themeShade="80"/>
                <w:sz w:val="18"/>
                <w:szCs w:val="20"/>
                <w:highlight w:val="none"/>
                <w:lang w:val="en-US" w:eastAsia="zh-CN" w:bidi="ar-SA"/>
              </w:rPr>
              <w:t>3</w:t>
            </w:r>
          </w:p>
        </w:tc>
      </w:tr>
      <w:tr>
        <w:tblPrEx>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right="0"/>
              <w:textAlignment w:val="baseline"/>
              <w:rPr>
                <w:rFonts w:hint="default"/>
              </w:rPr>
            </w:pPr>
            <w:r>
              <w:rPr>
                <w:rFonts w:hint="default"/>
              </w:rPr>
              <w:t>6</w:t>
            </w:r>
          </w:p>
        </w:tc>
        <w:tc>
          <w:tcPr>
            <w:tcW w:w="1228" w:type="dxa"/>
            <w:tcBorders>
              <w:top w:val="nil"/>
              <w:left w:val="nil"/>
              <w:bottom w:val="single" w:color="auto" w:sz="8" w:space="0"/>
              <w:right w:val="single" w:color="auto" w:sz="8" w:space="0"/>
            </w:tcBorders>
            <w:tcMar>
              <w:top w:w="0" w:type="dxa"/>
              <w:left w:w="108" w:type="dxa"/>
              <w:bottom w:w="0" w:type="dxa"/>
              <w:right w:w="108" w:type="dxa"/>
            </w:tcMar>
            <w:vAlign w:val="top"/>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leftChars="0" w:right="0" w:rightChars="0"/>
              <w:textAlignment w:val="baseline"/>
              <w:rPr>
                <w:rFonts w:hint="default" w:ascii="Arial" w:hAnsi="Arial" w:eastAsia="Times New Roman" w:cs="Times New Roman"/>
                <w:sz w:val="18"/>
                <w:szCs w:val="20"/>
                <w:lang w:val="en-GB" w:eastAsia="en-GB" w:bidi="ar-SA"/>
              </w:rPr>
            </w:pPr>
            <w:r>
              <w:rPr>
                <w:rFonts w:hint="default"/>
              </w:rPr>
              <w:t>Q</w:t>
            </w:r>
            <w:r>
              <w:rPr>
                <w:rFonts w:hint="eastAsia"/>
              </w:rPr>
              <w:t>PSK</w:t>
            </w:r>
          </w:p>
        </w:tc>
        <w:tc>
          <w:tcPr>
            <w:tcW w:w="1761" w:type="dxa"/>
            <w:tcBorders>
              <w:top w:val="nil"/>
              <w:left w:val="nil"/>
              <w:bottom w:val="single" w:color="auto" w:sz="8" w:space="0"/>
              <w:right w:val="single" w:color="auto" w:sz="8" w:space="0"/>
            </w:tcBorders>
            <w:tcMar>
              <w:top w:w="0" w:type="dxa"/>
              <w:left w:w="108" w:type="dxa"/>
              <w:bottom w:w="0" w:type="dxa"/>
              <w:right w:w="108" w:type="dxa"/>
            </w:tcMar>
            <w:vAlign w:val="top"/>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leftChars="0" w:right="0" w:rightChars="0"/>
              <w:textAlignment w:val="baseline"/>
              <w:rPr>
                <w:rFonts w:hint="default" w:ascii="Arial" w:hAnsi="Arial" w:eastAsia="宋体" w:cs="Times New Roman"/>
                <w:sz w:val="18"/>
                <w:szCs w:val="20"/>
                <w:lang w:val="en-US" w:eastAsia="zh-CN" w:bidi="ar-SA"/>
              </w:rPr>
            </w:pPr>
            <w:r>
              <w:rPr>
                <w:rFonts w:hint="eastAsia" w:eastAsia="宋体"/>
                <w:lang w:val="en-US" w:eastAsia="zh-CN"/>
              </w:rPr>
              <w:t>2</w:t>
            </w:r>
          </w:p>
        </w:tc>
        <w:tc>
          <w:tcPr>
            <w:tcW w:w="1575" w:type="dxa"/>
            <w:tcBorders>
              <w:top w:val="nil"/>
              <w:left w:val="nil"/>
              <w:bottom w:val="single" w:color="auto" w:sz="8" w:space="0"/>
              <w:right w:val="single" w:color="auto" w:sz="8" w:space="0"/>
            </w:tcBorders>
            <w:tcMar>
              <w:top w:w="0" w:type="dxa"/>
              <w:left w:w="108" w:type="dxa"/>
              <w:bottom w:w="0" w:type="dxa"/>
              <w:right w:w="108" w:type="dxa"/>
            </w:tcMar>
            <w:vAlign w:val="top"/>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leftChars="0" w:right="0" w:rightChars="0"/>
              <w:textAlignment w:val="baseline"/>
              <w:rPr>
                <w:rFonts w:hint="default" w:eastAsia="宋体"/>
                <w:lang w:val="en-US" w:eastAsia="zh-CN"/>
              </w:rPr>
            </w:pPr>
            <w:r>
              <w:rPr>
                <w:rFonts w:hint="eastAsia" w:eastAsia="宋体"/>
                <w:lang w:val="en-US" w:eastAsia="zh-CN"/>
              </w:rPr>
              <w:t>1</w:t>
            </w:r>
          </w:p>
        </w:tc>
        <w:tc>
          <w:tcPr>
            <w:tcW w:w="1575" w:type="dxa"/>
            <w:tcBorders>
              <w:top w:val="nil"/>
              <w:left w:val="nil"/>
              <w:bottom w:val="single" w:color="auto" w:sz="8" w:space="0"/>
              <w:right w:val="single" w:color="auto" w:sz="8" w:space="0"/>
            </w:tcBorders>
            <w:tcMar>
              <w:top w:w="0" w:type="dxa"/>
              <w:left w:w="108" w:type="dxa"/>
              <w:bottom w:w="0" w:type="dxa"/>
              <w:right w:w="108" w:type="dxa"/>
            </w:tcMar>
            <w:vAlign w:val="top"/>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leftChars="0" w:right="0" w:rightChars="0"/>
              <w:textAlignment w:val="baseline"/>
              <w:rPr>
                <w:rFonts w:hint="default" w:ascii="Arial" w:hAnsi="Arial" w:eastAsia="宋体" w:cs="Times New Roman"/>
                <w:color w:val="948A54" w:themeColor="background2" w:themeShade="80"/>
                <w:sz w:val="18"/>
                <w:szCs w:val="20"/>
                <w:highlight w:val="none"/>
                <w:lang w:val="en-US" w:eastAsia="zh-CN" w:bidi="ar-SA"/>
              </w:rPr>
            </w:pPr>
            <w:r>
              <w:rPr>
                <w:rFonts w:hint="eastAsia" w:eastAsia="宋体" w:cs="Times New Roman"/>
                <w:color w:val="948A54" w:themeColor="background2" w:themeShade="80"/>
                <w:sz w:val="18"/>
                <w:szCs w:val="20"/>
                <w:highlight w:val="none"/>
                <w:lang w:val="en-US" w:eastAsia="zh-CN" w:bidi="ar-SA"/>
              </w:rPr>
              <w:t>-3.1</w:t>
            </w:r>
          </w:p>
        </w:tc>
        <w:tc>
          <w:tcPr>
            <w:tcW w:w="1518" w:type="dxa"/>
            <w:tcBorders>
              <w:top w:val="nil"/>
              <w:left w:val="nil"/>
              <w:bottom w:val="single" w:color="auto" w:sz="8" w:space="0"/>
              <w:right w:val="single" w:color="auto" w:sz="8" w:space="0"/>
            </w:tcBorders>
            <w:tcMar>
              <w:top w:w="0" w:type="dxa"/>
              <w:left w:w="108" w:type="dxa"/>
              <w:bottom w:w="0" w:type="dxa"/>
              <w:right w:w="108" w:type="dxa"/>
            </w:tcMar>
            <w:vAlign w:val="top"/>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leftChars="0" w:right="0" w:rightChars="0"/>
              <w:textAlignment w:val="baseline"/>
              <w:rPr>
                <w:rFonts w:hint="default" w:ascii="Arial" w:hAnsi="Arial" w:eastAsia="宋体" w:cs="Times New Roman"/>
                <w:color w:val="948A54" w:themeColor="background2" w:themeShade="80"/>
                <w:sz w:val="18"/>
                <w:szCs w:val="20"/>
                <w:highlight w:val="none"/>
                <w:lang w:val="en-US" w:eastAsia="zh-CN" w:bidi="ar-SA"/>
              </w:rPr>
            </w:pPr>
            <w:r>
              <w:rPr>
                <w:rFonts w:hint="eastAsia" w:eastAsia="宋体"/>
                <w:color w:val="948A54" w:themeColor="background2" w:themeShade="80"/>
                <w:highlight w:val="none"/>
                <w:lang w:val="en-US" w:eastAsia="zh-CN"/>
              </w:rPr>
              <w:t>2.3</w:t>
            </w:r>
          </w:p>
        </w:tc>
      </w:tr>
      <w:tr>
        <w:tblPrEx>
          <w:tblCellMar>
            <w:top w:w="0" w:type="dxa"/>
            <w:left w:w="0" w:type="dxa"/>
            <w:bottom w:w="0" w:type="dxa"/>
            <w:right w:w="0" w:type="dxa"/>
          </w:tblCellMar>
        </w:tblPrEx>
        <w:trPr>
          <w:trHeight w:val="203" w:hRule="atLeast"/>
          <w:jc w:val="center"/>
        </w:trPr>
        <w:tc>
          <w:tcPr>
            <w:tcW w:w="1155"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top"/>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right="0"/>
              <w:textAlignment w:val="baseline"/>
              <w:rPr>
                <w:rFonts w:hint="default"/>
              </w:rPr>
            </w:pPr>
            <w:r>
              <w:rPr>
                <w:rFonts w:hint="default"/>
              </w:rPr>
              <w:t>7</w:t>
            </w:r>
          </w:p>
        </w:tc>
        <w:tc>
          <w:tcPr>
            <w:tcW w:w="122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top"/>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leftChars="0" w:right="0" w:rightChars="0"/>
              <w:textAlignment w:val="baseline"/>
              <w:rPr>
                <w:rFonts w:hint="default" w:ascii="Arial" w:hAnsi="Arial" w:eastAsia="Times New Roman" w:cs="Times New Roman"/>
                <w:sz w:val="18"/>
                <w:szCs w:val="20"/>
                <w:lang w:val="en-US" w:eastAsia="zh-CN" w:bidi="ar-SA"/>
              </w:rPr>
            </w:pPr>
            <w:r>
              <w:rPr>
                <w:rFonts w:hint="default"/>
              </w:rPr>
              <w:t>Q</w:t>
            </w:r>
            <w:r>
              <w:rPr>
                <w:rFonts w:hint="eastAsia"/>
              </w:rPr>
              <w:t>PSK</w:t>
            </w:r>
          </w:p>
        </w:tc>
        <w:tc>
          <w:tcPr>
            <w:tcW w:w="176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top"/>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leftChars="0" w:right="0" w:rightChars="0"/>
              <w:textAlignment w:val="baseline"/>
              <w:rPr>
                <w:rFonts w:hint="default" w:ascii="Arial" w:hAnsi="Arial" w:eastAsia="宋体" w:cs="Times New Roman"/>
                <w:sz w:val="18"/>
                <w:szCs w:val="20"/>
                <w:lang w:val="en-US" w:eastAsia="zh-CN" w:bidi="ar-SA"/>
              </w:rPr>
            </w:pPr>
            <w:r>
              <w:rPr>
                <w:rFonts w:hint="eastAsia" w:eastAsia="宋体"/>
                <w:lang w:val="en-US" w:eastAsia="zh-CN"/>
              </w:rPr>
              <w:t>4</w:t>
            </w:r>
          </w:p>
        </w:tc>
        <w:tc>
          <w:tcPr>
            <w:tcW w:w="157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top"/>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leftChars="0" w:right="0" w:rightChars="0"/>
              <w:textAlignment w:val="baseline"/>
              <w:rPr>
                <w:rFonts w:hint="default" w:eastAsia="宋体"/>
                <w:lang w:val="en-US" w:eastAsia="zh-CN"/>
              </w:rPr>
            </w:pPr>
            <w:r>
              <w:rPr>
                <w:rFonts w:hint="eastAsia" w:eastAsia="宋体"/>
                <w:lang w:val="en-US" w:eastAsia="zh-CN"/>
              </w:rPr>
              <w:t>1</w:t>
            </w:r>
          </w:p>
        </w:tc>
        <w:tc>
          <w:tcPr>
            <w:tcW w:w="157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top"/>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leftChars="0" w:right="0" w:rightChars="0"/>
              <w:textAlignment w:val="baseline"/>
              <w:rPr>
                <w:rFonts w:hint="default" w:ascii="Arial" w:hAnsi="Arial" w:eastAsia="宋体" w:cs="Times New Roman"/>
                <w:color w:val="948A54" w:themeColor="background2" w:themeShade="80"/>
                <w:sz w:val="18"/>
                <w:szCs w:val="20"/>
                <w:highlight w:val="none"/>
                <w:lang w:val="en-US" w:eastAsia="zh-CN" w:bidi="ar-SA"/>
              </w:rPr>
            </w:pPr>
            <w:r>
              <w:rPr>
                <w:rFonts w:hint="eastAsia" w:eastAsia="宋体" w:cs="Times New Roman"/>
                <w:color w:val="948A54" w:themeColor="background2" w:themeShade="80"/>
                <w:sz w:val="18"/>
                <w:szCs w:val="20"/>
                <w:highlight w:val="none"/>
                <w:lang w:val="en-US" w:eastAsia="zh-CN" w:bidi="ar-SA"/>
              </w:rPr>
              <w:t>-0.9</w:t>
            </w:r>
          </w:p>
        </w:tc>
        <w:tc>
          <w:tcPr>
            <w:tcW w:w="151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top"/>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leftChars="0" w:right="0" w:rightChars="0"/>
              <w:textAlignment w:val="baseline"/>
              <w:rPr>
                <w:rFonts w:hint="default" w:ascii="Arial" w:hAnsi="Arial" w:eastAsia="宋体" w:cs="Times New Roman"/>
                <w:color w:val="948A54" w:themeColor="background2" w:themeShade="80"/>
                <w:sz w:val="18"/>
                <w:szCs w:val="20"/>
                <w:highlight w:val="none"/>
                <w:lang w:val="en-US" w:eastAsia="zh-CN" w:bidi="ar-SA"/>
              </w:rPr>
            </w:pPr>
            <w:r>
              <w:rPr>
                <w:rFonts w:hint="eastAsia" w:eastAsia="宋体"/>
                <w:color w:val="948A54" w:themeColor="background2" w:themeShade="80"/>
                <w:highlight w:val="none"/>
                <w:lang w:val="en-US" w:eastAsia="zh-CN"/>
              </w:rPr>
              <w:t>2.2</w:t>
            </w:r>
          </w:p>
        </w:tc>
      </w:tr>
      <w:tr>
        <w:tblPrEx>
          <w:tblCellMar>
            <w:top w:w="0" w:type="dxa"/>
            <w:left w:w="0" w:type="dxa"/>
            <w:bottom w:w="0" w:type="dxa"/>
            <w:right w:w="0" w:type="dxa"/>
          </w:tblCellMar>
        </w:tblPrEx>
        <w:trPr>
          <w:jc w:val="center"/>
        </w:trPr>
        <w:tc>
          <w:tcPr>
            <w:tcW w:w="1155"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right="0"/>
              <w:textAlignment w:val="baseline"/>
              <w:rPr>
                <w:rFonts w:hint="default"/>
              </w:rPr>
            </w:pPr>
            <w:r>
              <w:rPr>
                <w:rFonts w:hint="default"/>
              </w:rPr>
              <w:t>8</w:t>
            </w:r>
          </w:p>
        </w:tc>
        <w:tc>
          <w:tcPr>
            <w:tcW w:w="122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top"/>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leftChars="0" w:right="0" w:rightChars="0"/>
              <w:textAlignment w:val="baseline"/>
              <w:rPr>
                <w:rFonts w:hint="default" w:ascii="Arial" w:hAnsi="Arial" w:eastAsia="Times New Roman" w:cs="Times New Roman"/>
                <w:sz w:val="18"/>
                <w:szCs w:val="20"/>
                <w:lang w:val="en-GB" w:eastAsia="en-GB" w:bidi="ar-SA"/>
              </w:rPr>
            </w:pPr>
            <w:r>
              <w:rPr>
                <w:rFonts w:hint="default"/>
              </w:rPr>
              <w:t>Q</w:t>
            </w:r>
            <w:r>
              <w:rPr>
                <w:rFonts w:hint="eastAsia"/>
              </w:rPr>
              <w:t>PSK</w:t>
            </w:r>
          </w:p>
        </w:tc>
        <w:tc>
          <w:tcPr>
            <w:tcW w:w="176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top"/>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leftChars="0" w:right="0" w:rightChars="0"/>
              <w:textAlignment w:val="baseline"/>
              <w:rPr>
                <w:rFonts w:hint="default" w:ascii="Arial" w:hAnsi="Arial" w:eastAsia="宋体" w:cs="Times New Roman"/>
                <w:sz w:val="18"/>
                <w:szCs w:val="20"/>
                <w:lang w:val="en-US" w:eastAsia="zh-CN" w:bidi="ar-SA"/>
              </w:rPr>
            </w:pPr>
            <w:r>
              <w:rPr>
                <w:rFonts w:hint="eastAsia" w:eastAsia="宋体"/>
                <w:lang w:val="en-US" w:eastAsia="zh-CN"/>
              </w:rPr>
              <w:t>6</w:t>
            </w:r>
          </w:p>
        </w:tc>
        <w:tc>
          <w:tcPr>
            <w:tcW w:w="157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top"/>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leftChars="0" w:right="0" w:rightChars="0"/>
              <w:textAlignment w:val="baseline"/>
              <w:rPr>
                <w:rFonts w:hint="default" w:eastAsia="宋体"/>
                <w:lang w:val="en-US" w:eastAsia="zh-CN"/>
              </w:rPr>
            </w:pPr>
            <w:r>
              <w:rPr>
                <w:rFonts w:hint="eastAsia" w:eastAsia="宋体"/>
                <w:lang w:val="en-US" w:eastAsia="zh-CN"/>
              </w:rPr>
              <w:t>1</w:t>
            </w:r>
          </w:p>
        </w:tc>
        <w:tc>
          <w:tcPr>
            <w:tcW w:w="157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top"/>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leftChars="0" w:right="0" w:rightChars="0"/>
              <w:textAlignment w:val="baseline"/>
              <w:rPr>
                <w:rFonts w:hint="default" w:ascii="Arial" w:hAnsi="Arial" w:eastAsia="宋体" w:cs="Times New Roman"/>
                <w:color w:val="948A54" w:themeColor="background2" w:themeShade="80"/>
                <w:sz w:val="18"/>
                <w:szCs w:val="20"/>
                <w:highlight w:val="none"/>
                <w:lang w:val="en-US" w:eastAsia="zh-CN" w:bidi="ar-SA"/>
              </w:rPr>
            </w:pPr>
            <w:r>
              <w:rPr>
                <w:rFonts w:hint="eastAsia" w:eastAsia="宋体" w:cs="Times New Roman"/>
                <w:color w:val="948A54" w:themeColor="background2" w:themeShade="80"/>
                <w:sz w:val="18"/>
                <w:szCs w:val="20"/>
                <w:highlight w:val="none"/>
                <w:lang w:val="en-US" w:eastAsia="zh-CN" w:bidi="ar-SA"/>
              </w:rPr>
              <w:t>1.0</w:t>
            </w:r>
          </w:p>
        </w:tc>
        <w:tc>
          <w:tcPr>
            <w:tcW w:w="151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top"/>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leftChars="0" w:right="0" w:rightChars="0"/>
              <w:textAlignment w:val="baseline"/>
              <w:rPr>
                <w:rFonts w:hint="default" w:ascii="Arial" w:hAnsi="Arial" w:eastAsia="宋体" w:cs="Times New Roman"/>
                <w:color w:val="948A54" w:themeColor="background2" w:themeShade="80"/>
                <w:sz w:val="18"/>
                <w:szCs w:val="20"/>
                <w:highlight w:val="none"/>
                <w:lang w:val="en-US" w:eastAsia="zh-CN" w:bidi="ar-SA"/>
              </w:rPr>
            </w:pPr>
            <w:r>
              <w:rPr>
                <w:rFonts w:hint="eastAsia" w:eastAsia="宋体"/>
                <w:color w:val="948A54" w:themeColor="background2" w:themeShade="80"/>
                <w:highlight w:val="none"/>
                <w:lang w:val="en-US" w:eastAsia="zh-CN"/>
              </w:rPr>
              <w:t>1.9</w:t>
            </w:r>
          </w:p>
        </w:tc>
      </w:tr>
      <w:tr>
        <w:tblPrEx>
          <w:tblCellMar>
            <w:top w:w="0" w:type="dxa"/>
            <w:left w:w="0" w:type="dxa"/>
            <w:bottom w:w="0" w:type="dxa"/>
            <w:right w:w="0" w:type="dxa"/>
          </w:tblCellMar>
        </w:tblPrEx>
        <w:trPr>
          <w:jc w:val="center"/>
        </w:trPr>
        <w:tc>
          <w:tcPr>
            <w:tcW w:w="1155"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top"/>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right="0"/>
              <w:textAlignment w:val="baseline"/>
              <w:rPr>
                <w:rFonts w:hint="default"/>
              </w:rPr>
            </w:pPr>
            <w:r>
              <w:rPr>
                <w:rFonts w:hint="default"/>
              </w:rPr>
              <w:t>9</w:t>
            </w:r>
          </w:p>
        </w:tc>
        <w:tc>
          <w:tcPr>
            <w:tcW w:w="122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top"/>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leftChars="0" w:right="0" w:rightChars="0"/>
              <w:textAlignment w:val="baseline"/>
              <w:rPr>
                <w:rFonts w:hint="default" w:ascii="Arial" w:hAnsi="Arial" w:eastAsia="Times New Roman" w:cs="Times New Roman"/>
                <w:sz w:val="18"/>
                <w:szCs w:val="20"/>
                <w:lang w:val="en-GB" w:eastAsia="en-GB" w:bidi="ar-SA"/>
              </w:rPr>
            </w:pPr>
            <w:r>
              <w:rPr>
                <w:rFonts w:hint="default"/>
              </w:rPr>
              <w:t>Q</w:t>
            </w:r>
            <w:r>
              <w:rPr>
                <w:rFonts w:hint="eastAsia"/>
              </w:rPr>
              <w:t>PSK</w:t>
            </w:r>
          </w:p>
        </w:tc>
        <w:tc>
          <w:tcPr>
            <w:tcW w:w="176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top"/>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leftChars="0" w:right="0" w:rightChars="0"/>
              <w:textAlignment w:val="baseline"/>
              <w:rPr>
                <w:rFonts w:hint="default" w:ascii="Arial" w:hAnsi="Arial" w:eastAsia="宋体" w:cs="Times New Roman"/>
                <w:sz w:val="18"/>
                <w:szCs w:val="20"/>
                <w:lang w:val="en-US" w:eastAsia="zh-CN" w:bidi="ar-SA"/>
              </w:rPr>
            </w:pPr>
            <w:r>
              <w:rPr>
                <w:rFonts w:hint="eastAsia" w:eastAsia="宋体"/>
                <w:lang w:val="en-US" w:eastAsia="zh-CN"/>
              </w:rPr>
              <w:t>8</w:t>
            </w:r>
          </w:p>
        </w:tc>
        <w:tc>
          <w:tcPr>
            <w:tcW w:w="157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top"/>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leftChars="0" w:right="0" w:rightChars="0"/>
              <w:textAlignment w:val="baseline"/>
              <w:rPr>
                <w:rFonts w:hint="default" w:eastAsia="宋体"/>
                <w:lang w:val="en-US" w:eastAsia="zh-CN"/>
              </w:rPr>
            </w:pPr>
            <w:r>
              <w:rPr>
                <w:rFonts w:hint="eastAsia" w:eastAsia="宋体"/>
                <w:lang w:val="en-US" w:eastAsia="zh-CN"/>
              </w:rPr>
              <w:t>1</w:t>
            </w:r>
          </w:p>
        </w:tc>
        <w:tc>
          <w:tcPr>
            <w:tcW w:w="157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top"/>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leftChars="0" w:right="0" w:rightChars="0"/>
              <w:textAlignment w:val="baseline"/>
              <w:rPr>
                <w:rFonts w:hint="default" w:ascii="Arial" w:hAnsi="Arial" w:eastAsia="宋体" w:cs="Times New Roman"/>
                <w:color w:val="948A54" w:themeColor="background2" w:themeShade="80"/>
                <w:sz w:val="18"/>
                <w:szCs w:val="20"/>
                <w:highlight w:val="none"/>
                <w:lang w:val="en-US" w:eastAsia="zh-CN" w:bidi="ar-SA"/>
              </w:rPr>
            </w:pPr>
            <w:r>
              <w:rPr>
                <w:rFonts w:hint="eastAsia" w:eastAsia="宋体" w:cs="Times New Roman"/>
                <w:color w:val="948A54" w:themeColor="background2" w:themeShade="80"/>
                <w:sz w:val="18"/>
                <w:szCs w:val="20"/>
                <w:highlight w:val="none"/>
                <w:lang w:val="en-US" w:eastAsia="zh-CN" w:bidi="ar-SA"/>
              </w:rPr>
              <w:t>2.6</w:t>
            </w:r>
          </w:p>
        </w:tc>
        <w:tc>
          <w:tcPr>
            <w:tcW w:w="151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top"/>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leftChars="0" w:right="0" w:rightChars="0"/>
              <w:textAlignment w:val="baseline"/>
              <w:rPr>
                <w:rFonts w:hint="default" w:ascii="Arial" w:hAnsi="Arial" w:eastAsia="宋体" w:cs="Times New Roman"/>
                <w:color w:val="948A54" w:themeColor="background2" w:themeShade="80"/>
                <w:sz w:val="18"/>
                <w:szCs w:val="20"/>
                <w:highlight w:val="none"/>
                <w:lang w:val="en-US" w:eastAsia="zh-CN" w:bidi="ar-SA"/>
              </w:rPr>
            </w:pPr>
            <w:r>
              <w:rPr>
                <w:rFonts w:hint="eastAsia" w:eastAsia="宋体"/>
                <w:color w:val="948A54" w:themeColor="background2" w:themeShade="80"/>
                <w:highlight w:val="none"/>
                <w:lang w:val="en-US" w:eastAsia="zh-CN"/>
              </w:rPr>
              <w:t>1.6</w:t>
            </w:r>
          </w:p>
        </w:tc>
      </w:tr>
      <w:tr>
        <w:tblPrEx>
          <w:tblCellMar>
            <w:top w:w="0" w:type="dxa"/>
            <w:left w:w="0" w:type="dxa"/>
            <w:bottom w:w="0" w:type="dxa"/>
            <w:right w:w="0" w:type="dxa"/>
          </w:tblCellMar>
        </w:tblPrEx>
        <w:trPr>
          <w:jc w:val="center"/>
        </w:trPr>
        <w:tc>
          <w:tcPr>
            <w:tcW w:w="1155"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right="0"/>
              <w:textAlignment w:val="baseline"/>
              <w:rPr>
                <w:rFonts w:hint="default"/>
              </w:rPr>
            </w:pPr>
            <w:r>
              <w:rPr>
                <w:rFonts w:hint="default"/>
              </w:rPr>
              <w:t>10</w:t>
            </w:r>
          </w:p>
        </w:tc>
        <w:tc>
          <w:tcPr>
            <w:tcW w:w="122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top"/>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leftChars="0" w:right="0" w:rightChars="0"/>
              <w:textAlignment w:val="baseline"/>
              <w:rPr>
                <w:rFonts w:hint="default" w:ascii="Arial" w:hAnsi="Arial" w:eastAsia="Times New Roman" w:cs="Times New Roman"/>
                <w:sz w:val="18"/>
                <w:szCs w:val="20"/>
                <w:lang w:val="en-GB" w:eastAsia="en-GB" w:bidi="ar-SA"/>
              </w:rPr>
            </w:pPr>
            <w:r>
              <w:rPr>
                <w:rFonts w:hint="default"/>
              </w:rPr>
              <w:t>Q</w:t>
            </w:r>
            <w:r>
              <w:rPr>
                <w:rFonts w:hint="eastAsia"/>
              </w:rPr>
              <w:t>PSK</w:t>
            </w:r>
          </w:p>
        </w:tc>
        <w:tc>
          <w:tcPr>
            <w:tcW w:w="176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top"/>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leftChars="0" w:right="0" w:rightChars="0"/>
              <w:textAlignment w:val="baseline"/>
              <w:rPr>
                <w:rFonts w:hint="default" w:ascii="Arial" w:hAnsi="Arial" w:eastAsia="宋体" w:cs="Times New Roman"/>
                <w:sz w:val="18"/>
                <w:szCs w:val="20"/>
                <w:lang w:val="en-US" w:eastAsia="zh-CN" w:bidi="ar-SA"/>
              </w:rPr>
            </w:pPr>
            <w:r>
              <w:rPr>
                <w:rFonts w:hint="eastAsia" w:eastAsia="宋体"/>
                <w:lang w:val="en-US" w:eastAsia="zh-CN"/>
              </w:rPr>
              <w:t>10</w:t>
            </w:r>
          </w:p>
        </w:tc>
        <w:tc>
          <w:tcPr>
            <w:tcW w:w="157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top"/>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leftChars="0" w:right="0" w:rightChars="0"/>
              <w:textAlignment w:val="baseline"/>
              <w:rPr>
                <w:rFonts w:hint="default" w:eastAsia="宋体"/>
                <w:lang w:val="en-US" w:eastAsia="zh-CN"/>
              </w:rPr>
            </w:pPr>
            <w:r>
              <w:rPr>
                <w:rFonts w:hint="eastAsia" w:eastAsia="宋体"/>
                <w:lang w:val="en-US" w:eastAsia="zh-CN"/>
              </w:rPr>
              <w:t>1</w:t>
            </w:r>
          </w:p>
        </w:tc>
        <w:tc>
          <w:tcPr>
            <w:tcW w:w="157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top"/>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leftChars="0" w:right="0" w:rightChars="0"/>
              <w:textAlignment w:val="baseline"/>
              <w:rPr>
                <w:rFonts w:hint="default" w:ascii="Arial" w:hAnsi="Arial" w:eastAsia="宋体" w:cs="Times New Roman"/>
                <w:color w:val="948A54" w:themeColor="background2" w:themeShade="80"/>
                <w:sz w:val="18"/>
                <w:szCs w:val="20"/>
                <w:highlight w:val="none"/>
                <w:lang w:val="en-US" w:eastAsia="zh-CN" w:bidi="ar-SA"/>
              </w:rPr>
            </w:pPr>
            <w:r>
              <w:rPr>
                <w:rFonts w:hint="eastAsia" w:eastAsia="宋体" w:cs="Times New Roman"/>
                <w:color w:val="948A54" w:themeColor="background2" w:themeShade="80"/>
                <w:sz w:val="18"/>
                <w:szCs w:val="20"/>
                <w:highlight w:val="none"/>
                <w:lang w:val="en-US" w:eastAsia="zh-CN" w:bidi="ar-SA"/>
              </w:rPr>
              <w:t>4.1</w:t>
            </w:r>
          </w:p>
        </w:tc>
        <w:tc>
          <w:tcPr>
            <w:tcW w:w="151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top"/>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leftChars="0" w:right="0" w:rightChars="0"/>
              <w:textAlignment w:val="baseline"/>
              <w:rPr>
                <w:rFonts w:hint="default" w:ascii="Arial" w:hAnsi="Arial" w:eastAsia="宋体" w:cs="Times New Roman"/>
                <w:color w:val="948A54" w:themeColor="background2" w:themeShade="80"/>
                <w:sz w:val="18"/>
                <w:szCs w:val="20"/>
                <w:highlight w:val="none"/>
                <w:lang w:val="en-US" w:eastAsia="zh-CN" w:bidi="ar-SA"/>
              </w:rPr>
            </w:pPr>
            <w:r>
              <w:rPr>
                <w:rFonts w:hint="eastAsia" w:eastAsia="宋体"/>
                <w:color w:val="948A54" w:themeColor="background2" w:themeShade="80"/>
                <w:highlight w:val="none"/>
                <w:lang w:val="en-US" w:eastAsia="zh-CN"/>
              </w:rPr>
              <w:t>1.5</w:t>
            </w:r>
          </w:p>
        </w:tc>
      </w:tr>
      <w:tr>
        <w:tblPrEx>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right="0"/>
              <w:textAlignment w:val="baseline"/>
              <w:rPr>
                <w:rFonts w:hint="default"/>
              </w:rPr>
            </w:pPr>
            <w:r>
              <w:rPr>
                <w:rFonts w:hint="default"/>
              </w:rPr>
              <w:t>11</w:t>
            </w:r>
          </w:p>
        </w:tc>
        <w:tc>
          <w:tcPr>
            <w:tcW w:w="1228" w:type="dxa"/>
            <w:tcBorders>
              <w:top w:val="nil"/>
              <w:left w:val="nil"/>
              <w:bottom w:val="single" w:color="auto" w:sz="8" w:space="0"/>
              <w:right w:val="single" w:color="auto" w:sz="8" w:space="0"/>
            </w:tcBorders>
            <w:tcMar>
              <w:top w:w="0" w:type="dxa"/>
              <w:left w:w="108" w:type="dxa"/>
              <w:bottom w:w="0" w:type="dxa"/>
              <w:right w:w="108" w:type="dxa"/>
            </w:tcMar>
            <w:vAlign w:val="top"/>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leftChars="0" w:right="0" w:rightChars="0"/>
              <w:textAlignment w:val="baseline"/>
              <w:rPr>
                <w:rFonts w:hint="default" w:ascii="Arial" w:hAnsi="Arial" w:eastAsia="宋体" w:cs="Times New Roman"/>
                <w:sz w:val="18"/>
                <w:szCs w:val="20"/>
                <w:lang w:val="en-GB" w:eastAsia="en-GB" w:bidi="ar-SA"/>
              </w:rPr>
            </w:pPr>
            <w:r>
              <w:rPr>
                <w:rFonts w:hint="eastAsia" w:eastAsia="宋体"/>
                <w:lang w:val="en-US" w:eastAsia="zh-CN"/>
              </w:rPr>
              <w:t>QPSK</w:t>
            </w:r>
          </w:p>
        </w:tc>
        <w:tc>
          <w:tcPr>
            <w:tcW w:w="1761" w:type="dxa"/>
            <w:tcBorders>
              <w:top w:val="nil"/>
              <w:left w:val="nil"/>
              <w:bottom w:val="single" w:color="auto" w:sz="8" w:space="0"/>
              <w:right w:val="single" w:color="auto" w:sz="8" w:space="0"/>
            </w:tcBorders>
            <w:tcMar>
              <w:top w:w="0" w:type="dxa"/>
              <w:left w:w="108" w:type="dxa"/>
              <w:bottom w:w="0" w:type="dxa"/>
              <w:right w:w="108" w:type="dxa"/>
            </w:tcMar>
            <w:vAlign w:val="top"/>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leftChars="0" w:right="0" w:rightChars="0"/>
              <w:textAlignment w:val="baseline"/>
              <w:rPr>
                <w:rFonts w:hint="default" w:ascii="Arial" w:hAnsi="Arial" w:eastAsia="宋体" w:cs="Times New Roman"/>
                <w:sz w:val="18"/>
                <w:szCs w:val="20"/>
                <w:lang w:val="en-US" w:eastAsia="zh-CN" w:bidi="ar-SA"/>
              </w:rPr>
            </w:pPr>
            <w:r>
              <w:rPr>
                <w:rFonts w:hint="eastAsia" w:eastAsia="宋体"/>
                <w:lang w:val="en-US" w:eastAsia="zh-CN"/>
              </w:rPr>
              <w:t>12</w:t>
            </w:r>
          </w:p>
        </w:tc>
        <w:tc>
          <w:tcPr>
            <w:tcW w:w="1575" w:type="dxa"/>
            <w:tcBorders>
              <w:top w:val="nil"/>
              <w:left w:val="nil"/>
              <w:bottom w:val="single" w:color="auto" w:sz="8" w:space="0"/>
              <w:right w:val="single" w:color="auto" w:sz="8" w:space="0"/>
            </w:tcBorders>
            <w:tcMar>
              <w:top w:w="0" w:type="dxa"/>
              <w:left w:w="108" w:type="dxa"/>
              <w:bottom w:w="0" w:type="dxa"/>
              <w:right w:w="108" w:type="dxa"/>
            </w:tcMar>
            <w:vAlign w:val="top"/>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leftChars="0" w:right="0" w:rightChars="0"/>
              <w:textAlignment w:val="baseline"/>
              <w:rPr>
                <w:rFonts w:hint="default" w:eastAsia="宋体"/>
                <w:lang w:val="en-US" w:eastAsia="zh-CN"/>
              </w:rPr>
            </w:pPr>
            <w:r>
              <w:rPr>
                <w:rFonts w:hint="eastAsia" w:eastAsia="宋体"/>
                <w:lang w:val="en-US" w:eastAsia="zh-CN"/>
              </w:rPr>
              <w:t>1</w:t>
            </w:r>
          </w:p>
        </w:tc>
        <w:tc>
          <w:tcPr>
            <w:tcW w:w="1575" w:type="dxa"/>
            <w:tcBorders>
              <w:top w:val="nil"/>
              <w:left w:val="nil"/>
              <w:bottom w:val="single" w:color="auto" w:sz="8" w:space="0"/>
              <w:right w:val="single" w:color="auto" w:sz="8" w:space="0"/>
            </w:tcBorders>
            <w:tcMar>
              <w:top w:w="0" w:type="dxa"/>
              <w:left w:w="108" w:type="dxa"/>
              <w:bottom w:w="0" w:type="dxa"/>
              <w:right w:w="108" w:type="dxa"/>
            </w:tcMar>
            <w:vAlign w:val="top"/>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leftChars="0" w:right="0" w:rightChars="0"/>
              <w:textAlignment w:val="baseline"/>
              <w:rPr>
                <w:rFonts w:hint="default" w:ascii="Arial" w:hAnsi="Arial" w:eastAsia="宋体" w:cs="Times New Roman"/>
                <w:color w:val="948A54" w:themeColor="background2" w:themeShade="80"/>
                <w:sz w:val="18"/>
                <w:szCs w:val="20"/>
                <w:highlight w:val="none"/>
                <w:lang w:val="en-US" w:eastAsia="zh-CN" w:bidi="ar-SA"/>
              </w:rPr>
            </w:pPr>
            <w:r>
              <w:rPr>
                <w:rFonts w:hint="eastAsia" w:eastAsia="宋体" w:cs="Times New Roman"/>
                <w:color w:val="948A54" w:themeColor="background2" w:themeShade="80"/>
                <w:sz w:val="18"/>
                <w:szCs w:val="20"/>
                <w:highlight w:val="none"/>
                <w:lang w:val="en-US" w:eastAsia="zh-CN" w:bidi="ar-SA"/>
              </w:rPr>
              <w:t>6.3</w:t>
            </w:r>
          </w:p>
        </w:tc>
        <w:tc>
          <w:tcPr>
            <w:tcW w:w="1518" w:type="dxa"/>
            <w:tcBorders>
              <w:top w:val="nil"/>
              <w:left w:val="nil"/>
              <w:bottom w:val="single" w:color="auto" w:sz="8" w:space="0"/>
              <w:right w:val="single" w:color="auto" w:sz="8" w:space="0"/>
            </w:tcBorders>
            <w:tcMar>
              <w:top w:w="0" w:type="dxa"/>
              <w:left w:w="108" w:type="dxa"/>
              <w:bottom w:w="0" w:type="dxa"/>
              <w:right w:w="108" w:type="dxa"/>
            </w:tcMar>
            <w:vAlign w:val="top"/>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leftChars="0" w:right="0" w:rightChars="0"/>
              <w:textAlignment w:val="baseline"/>
              <w:rPr>
                <w:rFonts w:hint="default" w:ascii="Arial" w:hAnsi="Arial" w:eastAsia="宋体" w:cs="Times New Roman"/>
                <w:color w:val="948A54" w:themeColor="background2" w:themeShade="80"/>
                <w:sz w:val="18"/>
                <w:szCs w:val="20"/>
                <w:highlight w:val="none"/>
                <w:lang w:val="en-US" w:eastAsia="zh-CN" w:bidi="ar-SA"/>
              </w:rPr>
            </w:pPr>
            <w:r>
              <w:rPr>
                <w:rFonts w:hint="eastAsia" w:eastAsia="宋体"/>
                <w:color w:val="948A54" w:themeColor="background2" w:themeShade="80"/>
                <w:highlight w:val="none"/>
                <w:lang w:val="en-US" w:eastAsia="zh-CN"/>
              </w:rPr>
              <w:t>2.2</w:t>
            </w:r>
          </w:p>
        </w:tc>
      </w:tr>
      <w:tr>
        <w:tblPrEx>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right="0"/>
              <w:textAlignment w:val="baseline"/>
              <w:rPr>
                <w:rFonts w:hint="default"/>
              </w:rPr>
            </w:pPr>
            <w:r>
              <w:rPr>
                <w:rFonts w:hint="default"/>
              </w:rPr>
              <w:t>12</w:t>
            </w:r>
          </w:p>
        </w:tc>
        <w:tc>
          <w:tcPr>
            <w:tcW w:w="1228" w:type="dxa"/>
            <w:tcBorders>
              <w:top w:val="nil"/>
              <w:left w:val="nil"/>
              <w:bottom w:val="single" w:color="auto" w:sz="8" w:space="0"/>
              <w:right w:val="single" w:color="auto" w:sz="8" w:space="0"/>
            </w:tcBorders>
            <w:tcMar>
              <w:top w:w="0" w:type="dxa"/>
              <w:left w:w="108" w:type="dxa"/>
              <w:bottom w:w="0" w:type="dxa"/>
              <w:right w:w="108" w:type="dxa"/>
            </w:tcMar>
            <w:vAlign w:val="top"/>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leftChars="0" w:right="0" w:rightChars="0"/>
              <w:textAlignment w:val="baseline"/>
              <w:rPr>
                <w:rFonts w:hint="default" w:ascii="Arial" w:hAnsi="Arial" w:eastAsia="Times New Roman" w:cs="Times New Roman"/>
                <w:sz w:val="18"/>
                <w:szCs w:val="20"/>
                <w:lang w:val="en-US" w:eastAsia="zh-CN" w:bidi="ar-SA"/>
              </w:rPr>
            </w:pPr>
            <w:r>
              <w:rPr>
                <w:rFonts w:hint="default"/>
              </w:rPr>
              <w:t>16Q</w:t>
            </w:r>
            <w:r>
              <w:rPr>
                <w:rFonts w:hint="eastAsia"/>
              </w:rPr>
              <w:t>AM</w:t>
            </w:r>
          </w:p>
        </w:tc>
        <w:tc>
          <w:tcPr>
            <w:tcW w:w="1761" w:type="dxa"/>
            <w:tcBorders>
              <w:top w:val="nil"/>
              <w:left w:val="nil"/>
              <w:bottom w:val="single" w:color="auto" w:sz="8" w:space="0"/>
              <w:right w:val="single" w:color="auto" w:sz="8" w:space="0"/>
            </w:tcBorders>
            <w:tcMar>
              <w:top w:w="0" w:type="dxa"/>
              <w:left w:w="108" w:type="dxa"/>
              <w:bottom w:w="0" w:type="dxa"/>
              <w:right w:w="108" w:type="dxa"/>
            </w:tcMar>
            <w:vAlign w:val="top"/>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leftChars="0" w:right="0" w:rightChars="0"/>
              <w:textAlignment w:val="baseline"/>
              <w:rPr>
                <w:rFonts w:hint="default" w:ascii="Arial" w:hAnsi="Arial" w:eastAsia="宋体" w:cs="Times New Roman"/>
                <w:sz w:val="18"/>
                <w:szCs w:val="20"/>
                <w:lang w:val="en-US" w:eastAsia="zh-CN" w:bidi="ar-SA"/>
              </w:rPr>
            </w:pPr>
            <w:r>
              <w:rPr>
                <w:rFonts w:hint="eastAsia" w:eastAsia="宋体"/>
                <w:lang w:val="en-US" w:eastAsia="zh-CN"/>
              </w:rPr>
              <w:t>14</w:t>
            </w:r>
          </w:p>
        </w:tc>
        <w:tc>
          <w:tcPr>
            <w:tcW w:w="1575" w:type="dxa"/>
            <w:tcBorders>
              <w:top w:val="nil"/>
              <w:left w:val="nil"/>
              <w:bottom w:val="single" w:color="auto" w:sz="8" w:space="0"/>
              <w:right w:val="single" w:color="auto" w:sz="8" w:space="0"/>
            </w:tcBorders>
            <w:tcMar>
              <w:top w:w="0" w:type="dxa"/>
              <w:left w:w="108" w:type="dxa"/>
              <w:bottom w:w="0" w:type="dxa"/>
              <w:right w:w="108" w:type="dxa"/>
            </w:tcMar>
            <w:vAlign w:val="top"/>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leftChars="0" w:right="0" w:rightChars="0"/>
              <w:textAlignment w:val="baseline"/>
              <w:rPr>
                <w:rFonts w:hint="default" w:eastAsia="宋体"/>
                <w:lang w:val="en-US" w:eastAsia="zh-CN"/>
              </w:rPr>
            </w:pPr>
            <w:r>
              <w:rPr>
                <w:rFonts w:hint="eastAsia" w:eastAsia="宋体"/>
                <w:lang w:val="en-US" w:eastAsia="zh-CN"/>
              </w:rPr>
              <w:t>1</w:t>
            </w:r>
          </w:p>
        </w:tc>
        <w:tc>
          <w:tcPr>
            <w:tcW w:w="1575" w:type="dxa"/>
            <w:tcBorders>
              <w:top w:val="nil"/>
              <w:left w:val="nil"/>
              <w:bottom w:val="single" w:color="auto" w:sz="8" w:space="0"/>
              <w:right w:val="single" w:color="auto" w:sz="8" w:space="0"/>
            </w:tcBorders>
            <w:tcMar>
              <w:top w:w="0" w:type="dxa"/>
              <w:left w:w="108" w:type="dxa"/>
              <w:bottom w:w="0" w:type="dxa"/>
              <w:right w:w="108" w:type="dxa"/>
            </w:tcMar>
            <w:vAlign w:val="top"/>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leftChars="0" w:right="0" w:rightChars="0"/>
              <w:textAlignment w:val="baseline"/>
              <w:rPr>
                <w:rFonts w:hint="default" w:ascii="Arial" w:hAnsi="Arial" w:eastAsia="宋体" w:cs="Times New Roman"/>
                <w:color w:val="948A54" w:themeColor="background2" w:themeShade="80"/>
                <w:sz w:val="18"/>
                <w:szCs w:val="20"/>
                <w:highlight w:val="none"/>
                <w:lang w:val="en-US" w:eastAsia="zh-CN" w:bidi="ar-SA"/>
              </w:rPr>
            </w:pPr>
            <w:r>
              <w:rPr>
                <w:rFonts w:hint="eastAsia" w:eastAsia="宋体" w:cs="Times New Roman"/>
                <w:color w:val="948A54" w:themeColor="background2" w:themeShade="80"/>
                <w:sz w:val="18"/>
                <w:szCs w:val="20"/>
                <w:highlight w:val="none"/>
                <w:lang w:val="en-US" w:eastAsia="zh-CN" w:bidi="ar-SA"/>
              </w:rPr>
              <w:t>8.9</w:t>
            </w:r>
          </w:p>
        </w:tc>
        <w:tc>
          <w:tcPr>
            <w:tcW w:w="1518" w:type="dxa"/>
            <w:tcBorders>
              <w:top w:val="nil"/>
              <w:left w:val="nil"/>
              <w:bottom w:val="single" w:color="auto" w:sz="8" w:space="0"/>
              <w:right w:val="single" w:color="auto" w:sz="8" w:space="0"/>
            </w:tcBorders>
            <w:tcMar>
              <w:top w:w="0" w:type="dxa"/>
              <w:left w:w="108" w:type="dxa"/>
              <w:bottom w:w="0" w:type="dxa"/>
              <w:right w:w="108" w:type="dxa"/>
            </w:tcMar>
            <w:vAlign w:val="top"/>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leftChars="0" w:right="0" w:rightChars="0"/>
              <w:textAlignment w:val="baseline"/>
              <w:rPr>
                <w:rFonts w:hint="default" w:ascii="Arial" w:hAnsi="Arial" w:eastAsia="宋体" w:cs="Times New Roman"/>
                <w:color w:val="948A54" w:themeColor="background2" w:themeShade="80"/>
                <w:sz w:val="18"/>
                <w:szCs w:val="20"/>
                <w:highlight w:val="none"/>
                <w:lang w:val="en-US" w:eastAsia="zh-CN" w:bidi="ar-SA"/>
              </w:rPr>
            </w:pPr>
            <w:r>
              <w:rPr>
                <w:rFonts w:hint="eastAsia" w:eastAsia="宋体"/>
                <w:color w:val="948A54" w:themeColor="background2" w:themeShade="80"/>
                <w:highlight w:val="none"/>
                <w:lang w:val="en-US" w:eastAsia="zh-CN"/>
              </w:rPr>
              <w:t>2.6</w:t>
            </w:r>
          </w:p>
        </w:tc>
      </w:tr>
      <w:tr>
        <w:tblPrEx>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right="0"/>
              <w:textAlignment w:val="baseline"/>
              <w:rPr>
                <w:rFonts w:hint="default"/>
              </w:rPr>
            </w:pPr>
            <w:r>
              <w:rPr>
                <w:rFonts w:hint="default"/>
              </w:rPr>
              <w:t>13</w:t>
            </w:r>
          </w:p>
        </w:tc>
        <w:tc>
          <w:tcPr>
            <w:tcW w:w="1228" w:type="dxa"/>
            <w:tcBorders>
              <w:top w:val="nil"/>
              <w:left w:val="nil"/>
              <w:bottom w:val="single" w:color="auto" w:sz="8" w:space="0"/>
              <w:right w:val="single" w:color="auto" w:sz="8" w:space="0"/>
            </w:tcBorders>
            <w:tcMar>
              <w:top w:w="0" w:type="dxa"/>
              <w:left w:w="108" w:type="dxa"/>
              <w:bottom w:w="0" w:type="dxa"/>
              <w:right w:w="108" w:type="dxa"/>
            </w:tcMar>
            <w:vAlign w:val="top"/>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leftChars="0" w:right="0" w:rightChars="0"/>
              <w:textAlignment w:val="baseline"/>
              <w:rPr>
                <w:rFonts w:hint="default" w:ascii="Arial" w:hAnsi="Arial" w:eastAsia="Times New Roman" w:cs="Times New Roman"/>
                <w:sz w:val="18"/>
                <w:szCs w:val="20"/>
                <w:lang w:val="en-GB" w:eastAsia="en-GB" w:bidi="ar-SA"/>
              </w:rPr>
            </w:pPr>
            <w:r>
              <w:rPr>
                <w:rFonts w:hint="default"/>
              </w:rPr>
              <w:t>16Q</w:t>
            </w:r>
            <w:r>
              <w:rPr>
                <w:rFonts w:hint="eastAsia"/>
              </w:rPr>
              <w:t>AM</w:t>
            </w:r>
          </w:p>
        </w:tc>
        <w:tc>
          <w:tcPr>
            <w:tcW w:w="1761" w:type="dxa"/>
            <w:tcBorders>
              <w:top w:val="nil"/>
              <w:left w:val="nil"/>
              <w:bottom w:val="single" w:color="auto" w:sz="8" w:space="0"/>
              <w:right w:val="single" w:color="auto" w:sz="8" w:space="0"/>
            </w:tcBorders>
            <w:tcMar>
              <w:top w:w="0" w:type="dxa"/>
              <w:left w:w="108" w:type="dxa"/>
              <w:bottom w:w="0" w:type="dxa"/>
              <w:right w:w="108" w:type="dxa"/>
            </w:tcMar>
            <w:vAlign w:val="top"/>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leftChars="0" w:right="0" w:rightChars="0"/>
              <w:textAlignment w:val="baseline"/>
              <w:rPr>
                <w:rFonts w:hint="default" w:ascii="Arial" w:hAnsi="Arial" w:eastAsia="宋体" w:cs="Times New Roman"/>
                <w:sz w:val="18"/>
                <w:szCs w:val="20"/>
                <w:lang w:val="en-US" w:eastAsia="zh-CN" w:bidi="ar-SA"/>
              </w:rPr>
            </w:pPr>
            <w:r>
              <w:rPr>
                <w:rFonts w:hint="eastAsia" w:eastAsia="宋体"/>
                <w:lang w:val="en-US" w:eastAsia="zh-CN"/>
              </w:rPr>
              <w:t>17</w:t>
            </w:r>
          </w:p>
        </w:tc>
        <w:tc>
          <w:tcPr>
            <w:tcW w:w="1575" w:type="dxa"/>
            <w:tcBorders>
              <w:top w:val="nil"/>
              <w:left w:val="nil"/>
              <w:bottom w:val="single" w:color="auto" w:sz="8" w:space="0"/>
              <w:right w:val="single" w:color="auto" w:sz="8" w:space="0"/>
            </w:tcBorders>
            <w:tcMar>
              <w:top w:w="0" w:type="dxa"/>
              <w:left w:w="108" w:type="dxa"/>
              <w:bottom w:w="0" w:type="dxa"/>
              <w:right w:w="108" w:type="dxa"/>
            </w:tcMar>
            <w:vAlign w:val="top"/>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leftChars="0" w:right="0" w:rightChars="0"/>
              <w:textAlignment w:val="baseline"/>
              <w:rPr>
                <w:rFonts w:hint="default" w:eastAsia="宋体"/>
                <w:lang w:val="en-US" w:eastAsia="zh-CN"/>
              </w:rPr>
            </w:pPr>
            <w:r>
              <w:rPr>
                <w:rFonts w:hint="eastAsia" w:eastAsia="宋体"/>
                <w:lang w:val="en-US" w:eastAsia="zh-CN"/>
              </w:rPr>
              <w:t>1</w:t>
            </w:r>
          </w:p>
        </w:tc>
        <w:tc>
          <w:tcPr>
            <w:tcW w:w="1575" w:type="dxa"/>
            <w:tcBorders>
              <w:top w:val="nil"/>
              <w:left w:val="nil"/>
              <w:bottom w:val="single" w:color="auto" w:sz="8" w:space="0"/>
              <w:right w:val="single" w:color="auto" w:sz="8" w:space="0"/>
            </w:tcBorders>
            <w:tcMar>
              <w:top w:w="0" w:type="dxa"/>
              <w:left w:w="108" w:type="dxa"/>
              <w:bottom w:w="0" w:type="dxa"/>
              <w:right w:w="108" w:type="dxa"/>
            </w:tcMar>
            <w:vAlign w:val="top"/>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leftChars="0" w:right="0" w:rightChars="0"/>
              <w:textAlignment w:val="baseline"/>
              <w:rPr>
                <w:rFonts w:hint="default" w:ascii="Arial" w:hAnsi="Arial" w:eastAsia="宋体" w:cs="Times New Roman"/>
                <w:color w:val="948A54" w:themeColor="background2" w:themeShade="80"/>
                <w:sz w:val="18"/>
                <w:szCs w:val="20"/>
                <w:highlight w:val="none"/>
                <w:lang w:val="en-US" w:eastAsia="zh-CN" w:bidi="ar-SA"/>
              </w:rPr>
            </w:pPr>
            <w:r>
              <w:rPr>
                <w:rFonts w:hint="eastAsia" w:eastAsia="宋体" w:cs="Times New Roman"/>
                <w:color w:val="948A54" w:themeColor="background2" w:themeShade="80"/>
                <w:sz w:val="18"/>
                <w:szCs w:val="20"/>
                <w:highlight w:val="none"/>
                <w:lang w:val="en-US" w:eastAsia="zh-CN" w:bidi="ar-SA"/>
              </w:rPr>
              <w:t>10.8</w:t>
            </w:r>
          </w:p>
        </w:tc>
        <w:tc>
          <w:tcPr>
            <w:tcW w:w="1518" w:type="dxa"/>
            <w:tcBorders>
              <w:top w:val="nil"/>
              <w:left w:val="nil"/>
              <w:bottom w:val="single" w:color="auto" w:sz="8" w:space="0"/>
              <w:right w:val="single" w:color="auto" w:sz="8" w:space="0"/>
            </w:tcBorders>
            <w:tcMar>
              <w:top w:w="0" w:type="dxa"/>
              <w:left w:w="108" w:type="dxa"/>
              <w:bottom w:w="0" w:type="dxa"/>
              <w:right w:w="108" w:type="dxa"/>
            </w:tcMar>
            <w:vAlign w:val="top"/>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leftChars="0" w:right="0" w:rightChars="0"/>
              <w:textAlignment w:val="baseline"/>
              <w:rPr>
                <w:rFonts w:hint="default" w:ascii="Arial" w:hAnsi="Arial" w:eastAsia="宋体" w:cs="Times New Roman"/>
                <w:color w:val="948A54" w:themeColor="background2" w:themeShade="80"/>
                <w:sz w:val="18"/>
                <w:szCs w:val="20"/>
                <w:highlight w:val="none"/>
                <w:lang w:val="en-US" w:eastAsia="zh-CN" w:bidi="ar-SA"/>
              </w:rPr>
            </w:pPr>
            <w:r>
              <w:rPr>
                <w:rFonts w:hint="eastAsia" w:eastAsia="宋体"/>
                <w:color w:val="948A54" w:themeColor="background2" w:themeShade="80"/>
                <w:highlight w:val="none"/>
                <w:lang w:val="en-US" w:eastAsia="zh-CN"/>
              </w:rPr>
              <w:t>1.9</w:t>
            </w:r>
          </w:p>
        </w:tc>
      </w:tr>
      <w:tr>
        <w:tblPrEx>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right="0"/>
              <w:textAlignment w:val="baseline"/>
              <w:rPr>
                <w:rFonts w:hint="default"/>
              </w:rPr>
            </w:pPr>
            <w:r>
              <w:rPr>
                <w:rFonts w:hint="default"/>
              </w:rPr>
              <w:t>14</w:t>
            </w:r>
          </w:p>
        </w:tc>
        <w:tc>
          <w:tcPr>
            <w:tcW w:w="1228" w:type="dxa"/>
            <w:tcBorders>
              <w:top w:val="nil"/>
              <w:left w:val="nil"/>
              <w:bottom w:val="single" w:color="auto" w:sz="8" w:space="0"/>
              <w:right w:val="single" w:color="auto" w:sz="8" w:space="0"/>
            </w:tcBorders>
            <w:tcMar>
              <w:top w:w="0" w:type="dxa"/>
              <w:left w:w="108" w:type="dxa"/>
              <w:bottom w:w="0" w:type="dxa"/>
              <w:right w:w="108" w:type="dxa"/>
            </w:tcMar>
            <w:vAlign w:val="top"/>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leftChars="0" w:right="0" w:rightChars="0"/>
              <w:textAlignment w:val="baseline"/>
              <w:rPr>
                <w:rFonts w:hint="default" w:ascii="Arial" w:hAnsi="Arial" w:eastAsia="Times New Roman" w:cs="Times New Roman"/>
                <w:sz w:val="18"/>
                <w:szCs w:val="20"/>
                <w:lang w:val="en-GB" w:eastAsia="en-GB" w:bidi="ar-SA"/>
              </w:rPr>
            </w:pPr>
            <w:r>
              <w:rPr>
                <w:rFonts w:hint="default"/>
              </w:rPr>
              <w:t>16Q</w:t>
            </w:r>
            <w:r>
              <w:rPr>
                <w:rFonts w:hint="eastAsia"/>
              </w:rPr>
              <w:t>AM</w:t>
            </w:r>
          </w:p>
        </w:tc>
        <w:tc>
          <w:tcPr>
            <w:tcW w:w="1761" w:type="dxa"/>
            <w:tcBorders>
              <w:top w:val="nil"/>
              <w:left w:val="nil"/>
              <w:bottom w:val="single" w:color="auto" w:sz="8" w:space="0"/>
              <w:right w:val="single" w:color="auto" w:sz="8" w:space="0"/>
            </w:tcBorders>
            <w:tcMar>
              <w:top w:w="0" w:type="dxa"/>
              <w:left w:w="108" w:type="dxa"/>
              <w:bottom w:w="0" w:type="dxa"/>
              <w:right w:w="108" w:type="dxa"/>
            </w:tcMar>
            <w:vAlign w:val="top"/>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leftChars="0" w:right="0" w:rightChars="0"/>
              <w:textAlignment w:val="baseline"/>
              <w:rPr>
                <w:rFonts w:hint="default" w:ascii="Arial" w:hAnsi="Arial" w:eastAsia="宋体" w:cs="Times New Roman"/>
                <w:sz w:val="18"/>
                <w:szCs w:val="20"/>
                <w:lang w:val="en-US" w:eastAsia="zh-CN" w:bidi="ar-SA"/>
              </w:rPr>
            </w:pPr>
            <w:r>
              <w:rPr>
                <w:rFonts w:hint="eastAsia" w:eastAsia="宋体"/>
                <w:lang w:val="en-US" w:eastAsia="zh-CN"/>
              </w:rPr>
              <w:t>19</w:t>
            </w:r>
          </w:p>
        </w:tc>
        <w:tc>
          <w:tcPr>
            <w:tcW w:w="1575" w:type="dxa"/>
            <w:tcBorders>
              <w:top w:val="nil"/>
              <w:left w:val="nil"/>
              <w:bottom w:val="single" w:color="auto" w:sz="8" w:space="0"/>
              <w:right w:val="single" w:color="auto" w:sz="8" w:space="0"/>
            </w:tcBorders>
            <w:tcMar>
              <w:top w:w="0" w:type="dxa"/>
              <w:left w:w="108" w:type="dxa"/>
              <w:bottom w:w="0" w:type="dxa"/>
              <w:right w:w="108" w:type="dxa"/>
            </w:tcMar>
            <w:vAlign w:val="top"/>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leftChars="0" w:right="0" w:rightChars="0"/>
              <w:textAlignment w:val="baseline"/>
              <w:rPr>
                <w:rFonts w:hint="default" w:eastAsia="宋体"/>
                <w:lang w:val="en-US" w:eastAsia="zh-CN"/>
              </w:rPr>
            </w:pPr>
            <w:r>
              <w:rPr>
                <w:rFonts w:hint="eastAsia" w:eastAsia="宋体"/>
                <w:lang w:val="en-US" w:eastAsia="zh-CN"/>
              </w:rPr>
              <w:t>1</w:t>
            </w:r>
          </w:p>
        </w:tc>
        <w:tc>
          <w:tcPr>
            <w:tcW w:w="1575" w:type="dxa"/>
            <w:tcBorders>
              <w:top w:val="nil"/>
              <w:left w:val="nil"/>
              <w:bottom w:val="single" w:color="auto" w:sz="8" w:space="0"/>
              <w:right w:val="single" w:color="auto" w:sz="8" w:space="0"/>
            </w:tcBorders>
            <w:tcMar>
              <w:top w:w="0" w:type="dxa"/>
              <w:left w:w="108" w:type="dxa"/>
              <w:bottom w:w="0" w:type="dxa"/>
              <w:right w:w="108" w:type="dxa"/>
            </w:tcMar>
            <w:vAlign w:val="top"/>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leftChars="0" w:right="0" w:rightChars="0"/>
              <w:textAlignment w:val="baseline"/>
              <w:rPr>
                <w:rFonts w:hint="default" w:ascii="Arial" w:hAnsi="Arial" w:eastAsia="宋体" w:cs="Times New Roman"/>
                <w:color w:val="948A54" w:themeColor="background2" w:themeShade="80"/>
                <w:sz w:val="18"/>
                <w:szCs w:val="20"/>
                <w:highlight w:val="none"/>
                <w:lang w:val="en-US" w:eastAsia="zh-CN" w:bidi="ar-SA"/>
              </w:rPr>
            </w:pPr>
            <w:r>
              <w:rPr>
                <w:rFonts w:hint="eastAsia" w:eastAsia="宋体" w:cs="Times New Roman"/>
                <w:color w:val="948A54" w:themeColor="background2" w:themeShade="80"/>
                <w:sz w:val="18"/>
                <w:szCs w:val="20"/>
                <w:highlight w:val="none"/>
                <w:lang w:val="en-US" w:eastAsia="zh-CN" w:bidi="ar-SA"/>
              </w:rPr>
              <w:t>12.4</w:t>
            </w:r>
          </w:p>
        </w:tc>
        <w:tc>
          <w:tcPr>
            <w:tcW w:w="1518" w:type="dxa"/>
            <w:tcBorders>
              <w:top w:val="nil"/>
              <w:left w:val="nil"/>
              <w:bottom w:val="single" w:color="auto" w:sz="8" w:space="0"/>
              <w:right w:val="single" w:color="auto" w:sz="8" w:space="0"/>
            </w:tcBorders>
            <w:tcMar>
              <w:top w:w="0" w:type="dxa"/>
              <w:left w:w="108" w:type="dxa"/>
              <w:bottom w:w="0" w:type="dxa"/>
              <w:right w:w="108" w:type="dxa"/>
            </w:tcMar>
            <w:vAlign w:val="top"/>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leftChars="0" w:right="0" w:rightChars="0"/>
              <w:textAlignment w:val="baseline"/>
              <w:rPr>
                <w:rFonts w:hint="default" w:ascii="Arial" w:hAnsi="Arial" w:eastAsia="宋体" w:cs="Times New Roman"/>
                <w:color w:val="948A54" w:themeColor="background2" w:themeShade="80"/>
                <w:sz w:val="18"/>
                <w:szCs w:val="20"/>
                <w:highlight w:val="none"/>
                <w:lang w:val="en-US" w:eastAsia="zh-CN" w:bidi="ar-SA"/>
              </w:rPr>
            </w:pPr>
            <w:r>
              <w:rPr>
                <w:rFonts w:hint="eastAsia" w:eastAsia="宋体"/>
                <w:color w:val="948A54" w:themeColor="background2" w:themeShade="80"/>
                <w:highlight w:val="none"/>
                <w:lang w:val="en-US" w:eastAsia="zh-CN"/>
              </w:rPr>
              <w:t>1.6</w:t>
            </w:r>
          </w:p>
        </w:tc>
      </w:tr>
      <w:tr>
        <w:tblPrEx>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right="0"/>
              <w:textAlignment w:val="baseline"/>
              <w:rPr>
                <w:rFonts w:hint="default"/>
              </w:rPr>
            </w:pPr>
            <w:r>
              <w:rPr>
                <w:rFonts w:hint="default"/>
              </w:rPr>
              <w:t>15</w:t>
            </w:r>
          </w:p>
        </w:tc>
        <w:tc>
          <w:tcPr>
            <w:tcW w:w="1228" w:type="dxa"/>
            <w:tcBorders>
              <w:top w:val="nil"/>
              <w:left w:val="nil"/>
              <w:bottom w:val="single" w:color="auto" w:sz="8" w:space="0"/>
              <w:right w:val="single" w:color="auto" w:sz="8" w:space="0"/>
            </w:tcBorders>
            <w:tcMar>
              <w:top w:w="0" w:type="dxa"/>
              <w:left w:w="108" w:type="dxa"/>
              <w:bottom w:w="0" w:type="dxa"/>
              <w:right w:w="108" w:type="dxa"/>
            </w:tcMar>
            <w:vAlign w:val="top"/>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leftChars="0" w:right="0" w:rightChars="0"/>
              <w:textAlignment w:val="baseline"/>
              <w:rPr>
                <w:rFonts w:hint="default" w:ascii="Arial" w:hAnsi="Arial" w:eastAsia="Times New Roman" w:cs="Times New Roman"/>
                <w:sz w:val="18"/>
                <w:szCs w:val="20"/>
                <w:lang w:val="en-GB" w:eastAsia="en-GB" w:bidi="ar-SA"/>
              </w:rPr>
            </w:pPr>
            <w:r>
              <w:rPr>
                <w:rFonts w:hint="default"/>
              </w:rPr>
              <w:t>16Q</w:t>
            </w:r>
            <w:r>
              <w:rPr>
                <w:rFonts w:hint="eastAsia"/>
              </w:rPr>
              <w:t>AM</w:t>
            </w:r>
          </w:p>
        </w:tc>
        <w:tc>
          <w:tcPr>
            <w:tcW w:w="1761" w:type="dxa"/>
            <w:tcBorders>
              <w:top w:val="nil"/>
              <w:left w:val="nil"/>
              <w:bottom w:val="single" w:color="auto" w:sz="8" w:space="0"/>
              <w:right w:val="single" w:color="auto" w:sz="8" w:space="0"/>
            </w:tcBorders>
            <w:tcMar>
              <w:top w:w="0" w:type="dxa"/>
              <w:left w:w="108" w:type="dxa"/>
              <w:bottom w:w="0" w:type="dxa"/>
              <w:right w:w="108" w:type="dxa"/>
            </w:tcMar>
            <w:vAlign w:val="top"/>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leftChars="0" w:right="0" w:rightChars="0"/>
              <w:textAlignment w:val="baseline"/>
              <w:rPr>
                <w:rFonts w:hint="default" w:ascii="Arial" w:hAnsi="Arial" w:eastAsia="宋体" w:cs="Times New Roman"/>
                <w:sz w:val="18"/>
                <w:szCs w:val="20"/>
                <w:lang w:val="en-US" w:eastAsia="zh-CN" w:bidi="ar-SA"/>
              </w:rPr>
            </w:pPr>
            <w:r>
              <w:rPr>
                <w:rFonts w:hint="eastAsia" w:eastAsia="宋体"/>
                <w:lang w:val="en-US" w:eastAsia="zh-CN"/>
              </w:rPr>
              <w:t>21</w:t>
            </w:r>
          </w:p>
        </w:tc>
        <w:tc>
          <w:tcPr>
            <w:tcW w:w="1575" w:type="dxa"/>
            <w:tcBorders>
              <w:top w:val="nil"/>
              <w:left w:val="nil"/>
              <w:bottom w:val="single" w:color="auto" w:sz="8" w:space="0"/>
              <w:right w:val="single" w:color="auto" w:sz="8" w:space="0"/>
            </w:tcBorders>
            <w:tcMar>
              <w:top w:w="0" w:type="dxa"/>
              <w:left w:w="108" w:type="dxa"/>
              <w:bottom w:w="0" w:type="dxa"/>
              <w:right w:w="108" w:type="dxa"/>
            </w:tcMar>
            <w:vAlign w:val="top"/>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leftChars="0" w:right="0" w:rightChars="0"/>
              <w:textAlignment w:val="baseline"/>
              <w:rPr>
                <w:rFonts w:hint="default" w:eastAsia="宋体"/>
                <w:lang w:val="en-US" w:eastAsia="zh-CN"/>
              </w:rPr>
            </w:pPr>
            <w:r>
              <w:rPr>
                <w:rFonts w:hint="eastAsia" w:eastAsia="宋体"/>
                <w:lang w:val="en-US" w:eastAsia="zh-CN"/>
              </w:rPr>
              <w:t>1</w:t>
            </w:r>
          </w:p>
        </w:tc>
        <w:tc>
          <w:tcPr>
            <w:tcW w:w="1575" w:type="dxa"/>
            <w:tcBorders>
              <w:top w:val="nil"/>
              <w:left w:val="nil"/>
              <w:bottom w:val="single" w:color="auto" w:sz="8" w:space="0"/>
              <w:right w:val="single" w:color="auto" w:sz="8" w:space="0"/>
            </w:tcBorders>
            <w:tcMar>
              <w:top w:w="0" w:type="dxa"/>
              <w:left w:w="108" w:type="dxa"/>
              <w:bottom w:w="0" w:type="dxa"/>
              <w:right w:w="108" w:type="dxa"/>
            </w:tcMar>
            <w:vAlign w:val="top"/>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leftChars="0" w:right="0" w:rightChars="0"/>
              <w:textAlignment w:val="baseline"/>
              <w:rPr>
                <w:rFonts w:hint="default" w:ascii="Arial" w:hAnsi="Arial" w:eastAsia="宋体" w:cs="Times New Roman"/>
                <w:color w:val="948A54" w:themeColor="background2" w:themeShade="80"/>
                <w:sz w:val="18"/>
                <w:szCs w:val="20"/>
                <w:highlight w:val="none"/>
                <w:lang w:val="en-US" w:eastAsia="zh-CN" w:bidi="ar-SA"/>
              </w:rPr>
            </w:pPr>
            <w:r>
              <w:rPr>
                <w:rFonts w:hint="eastAsia" w:eastAsia="宋体" w:cs="Times New Roman"/>
                <w:color w:val="948A54" w:themeColor="background2" w:themeShade="80"/>
                <w:sz w:val="18"/>
                <w:szCs w:val="20"/>
                <w:highlight w:val="none"/>
                <w:lang w:val="en-US" w:eastAsia="zh-CN" w:bidi="ar-SA"/>
              </w:rPr>
              <w:t>14.1</w:t>
            </w:r>
          </w:p>
        </w:tc>
        <w:tc>
          <w:tcPr>
            <w:tcW w:w="1518" w:type="dxa"/>
            <w:tcBorders>
              <w:top w:val="nil"/>
              <w:left w:val="nil"/>
              <w:bottom w:val="single" w:color="auto" w:sz="8" w:space="0"/>
              <w:right w:val="single" w:color="auto" w:sz="8" w:space="0"/>
            </w:tcBorders>
            <w:tcMar>
              <w:top w:w="0" w:type="dxa"/>
              <w:left w:w="108" w:type="dxa"/>
              <w:bottom w:w="0" w:type="dxa"/>
              <w:right w:w="108" w:type="dxa"/>
            </w:tcMar>
            <w:vAlign w:val="top"/>
          </w:tcPr>
          <w:p>
            <w:pPr>
              <w:pStyle w:val="50"/>
              <w:keepNext w:val="0"/>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leftChars="0" w:right="0" w:rightChars="0"/>
              <w:textAlignment w:val="baseline"/>
              <w:rPr>
                <w:rFonts w:hint="default" w:ascii="Arial" w:hAnsi="Arial" w:eastAsia="宋体" w:cs="Times New Roman"/>
                <w:color w:val="948A54" w:themeColor="background2" w:themeShade="80"/>
                <w:sz w:val="18"/>
                <w:szCs w:val="20"/>
                <w:highlight w:val="none"/>
                <w:lang w:val="en-US" w:eastAsia="zh-CN" w:bidi="ar-SA"/>
              </w:rPr>
            </w:pPr>
            <w:r>
              <w:rPr>
                <w:rFonts w:hint="eastAsia" w:eastAsia="宋体"/>
                <w:color w:val="948A54" w:themeColor="background2" w:themeShade="80"/>
                <w:highlight w:val="none"/>
                <w:lang w:val="en-US" w:eastAsia="zh-CN"/>
              </w:rPr>
              <w:t>1.7</w:t>
            </w:r>
          </w:p>
        </w:tc>
      </w:tr>
    </w:tbl>
    <w:p>
      <w:pPr>
        <w:rPr>
          <w:rFonts w:ascii="Times New Roman" w:hAnsi="Times New Roman" w:cs="Times New Roman"/>
          <w:iCs/>
          <w:sz w:val="20"/>
          <w:szCs w:val="20"/>
        </w:rPr>
      </w:pPr>
    </w:p>
    <w:p>
      <w:pPr>
        <w:keepNext w:val="0"/>
        <w:keepLines w:val="0"/>
        <w:pageBreakBefore w:val="0"/>
        <w:widowControl/>
        <w:numPr>
          <w:ilvl w:val="0"/>
          <w:numId w:val="6"/>
        </w:numPr>
        <w:kinsoku/>
        <w:wordWrap/>
        <w:overflowPunct/>
        <w:topLinePunct w:val="0"/>
        <w:autoSpaceDE w:val="0"/>
        <w:autoSpaceDN w:val="0"/>
        <w:bidi w:val="0"/>
        <w:adjustRightInd w:val="0"/>
        <w:snapToGrid w:val="0"/>
        <w:ind w:left="181" w:leftChars="0" w:hanging="181" w:firstLineChars="0"/>
        <w:textAlignment w:val="auto"/>
        <w:rPr>
          <w:rFonts w:hint="default" w:ascii="Times New Roman" w:hAnsi="Times New Roman" w:eastAsia="宋体" w:cs="Times New Roman"/>
          <w:b w:val="0"/>
          <w:bCs w:val="0"/>
          <w:i w:val="0"/>
          <w:caps w:val="0"/>
          <w:color w:val="000000"/>
          <w:spacing w:val="0"/>
          <w:sz w:val="20"/>
          <w:szCs w:val="20"/>
          <w:shd w:val="clear" w:fill="FFFFFF"/>
          <w:lang w:val="en-US" w:eastAsia="zh-CN"/>
        </w:rPr>
      </w:pPr>
      <w:r>
        <w:rPr>
          <w:rFonts w:hint="eastAsia" w:ascii="Times New Roman" w:hAnsi="Times New Roman" w:eastAsia="宋体" w:cs="Times New Roman"/>
          <w:b/>
          <w:bCs/>
          <w:i w:val="0"/>
          <w:caps w:val="0"/>
          <w:color w:val="000000"/>
          <w:spacing w:val="0"/>
          <w:sz w:val="20"/>
          <w:szCs w:val="20"/>
          <w:shd w:val="clear" w:fill="FFFFFF"/>
          <w:lang w:val="en-US" w:eastAsia="zh-CN"/>
        </w:rPr>
        <w:t>Option 3B</w:t>
      </w:r>
      <w:r>
        <w:rPr>
          <w:rFonts w:hint="eastAsia" w:ascii="Times New Roman" w:hAnsi="Times New Roman" w:eastAsia="宋体" w:cs="Times New Roman"/>
          <w:b w:val="0"/>
          <w:bCs w:val="0"/>
          <w:i w:val="0"/>
          <w:caps w:val="0"/>
          <w:color w:val="000000"/>
          <w:spacing w:val="0"/>
          <w:sz w:val="20"/>
          <w:szCs w:val="20"/>
          <w:shd w:val="clear" w:fill="FFFFFF"/>
          <w:lang w:val="en-US" w:eastAsia="zh-CN"/>
        </w:rPr>
        <w:t xml:space="preserve">: The continuous TBS indices for 16QAM and the interval TBS indices for QPSK are mapped to CQI table. </w:t>
      </w:r>
    </w:p>
    <w:p>
      <w:pPr>
        <w:rPr>
          <w:rFonts w:hint="default" w:ascii="Times New Roman" w:hAnsi="Times New Roman" w:cs="Times New Roman" w:eastAsiaTheme="minorEastAsia"/>
          <w:iCs/>
          <w:sz w:val="20"/>
          <w:szCs w:val="20"/>
          <w:lang w:val="en-US" w:eastAsia="zh-CN"/>
        </w:rPr>
      </w:pPr>
      <w:r>
        <w:rPr>
          <w:rFonts w:ascii="Times New Roman" w:hAnsi="Times New Roman" w:cs="Times New Roman"/>
          <w:iCs/>
          <w:sz w:val="20"/>
          <w:szCs w:val="20"/>
        </w:rPr>
        <w:t>Considering that 16QAM is usually configured in high SNR,</w:t>
      </w:r>
      <w:r>
        <w:rPr>
          <w:rFonts w:hint="eastAsia" w:ascii="Times New Roman" w:hAnsi="Times New Roman" w:cs="Times New Roman"/>
          <w:iCs/>
          <w:sz w:val="20"/>
          <w:szCs w:val="20"/>
        </w:rPr>
        <w:t xml:space="preserve"> it</w:t>
      </w:r>
      <w:r>
        <w:rPr>
          <w:rFonts w:ascii="Times New Roman" w:hAnsi="Times New Roman" w:cs="Times New Roman"/>
          <w:iCs/>
          <w:sz w:val="20"/>
          <w:szCs w:val="20"/>
        </w:rPr>
        <w:t xml:space="preserve"> is beneficial for CQI reporting performance that large CQI ind</w:t>
      </w:r>
      <w:r>
        <w:rPr>
          <w:rFonts w:hint="eastAsia" w:cs="Times New Roman"/>
          <w:iCs/>
          <w:sz w:val="20"/>
          <w:szCs w:val="20"/>
          <w:lang w:val="en-US" w:eastAsia="zh-CN"/>
        </w:rPr>
        <w:t>ice</w:t>
      </w:r>
      <w:r>
        <w:rPr>
          <w:rFonts w:ascii="Times New Roman" w:hAnsi="Times New Roman" w:cs="Times New Roman"/>
          <w:iCs/>
          <w:sz w:val="20"/>
          <w:szCs w:val="20"/>
        </w:rPr>
        <w:t>s correspond to continuous MCS</w:t>
      </w:r>
      <w:r>
        <w:rPr>
          <w:rFonts w:hint="eastAsia" w:ascii="Times New Roman" w:hAnsi="Times New Roman" w:cs="Times New Roman"/>
          <w:iCs/>
          <w:sz w:val="20"/>
          <w:szCs w:val="20"/>
          <w:lang w:val="en-US" w:eastAsia="zh-CN"/>
        </w:rPr>
        <w:t xml:space="preserve"> levels</w:t>
      </w:r>
      <w:r>
        <w:rPr>
          <w:rFonts w:ascii="Times New Roman" w:hAnsi="Times New Roman" w:cs="Times New Roman"/>
          <w:iCs/>
          <w:sz w:val="20"/>
          <w:szCs w:val="20"/>
        </w:rPr>
        <w:t xml:space="preserve"> </w:t>
      </w:r>
      <w:r>
        <w:rPr>
          <w:rFonts w:hint="eastAsia" w:ascii="Times New Roman" w:hAnsi="Times New Roman" w:cs="Times New Roman"/>
          <w:iCs/>
          <w:sz w:val="20"/>
          <w:szCs w:val="20"/>
        </w:rPr>
        <w:t>with</w:t>
      </w:r>
      <w:r>
        <w:rPr>
          <w:rFonts w:ascii="Times New Roman" w:hAnsi="Times New Roman" w:cs="Times New Roman"/>
          <w:iCs/>
          <w:sz w:val="20"/>
          <w:szCs w:val="20"/>
        </w:rPr>
        <w:t xml:space="preserve"> high spectral efficienc</w:t>
      </w:r>
      <w:r>
        <w:rPr>
          <w:rFonts w:hint="eastAsia" w:ascii="Times New Roman" w:hAnsi="Times New Roman" w:cs="Times New Roman"/>
          <w:iCs/>
          <w:sz w:val="20"/>
          <w:szCs w:val="20"/>
          <w:lang w:val="en-US" w:eastAsia="zh-CN"/>
        </w:rPr>
        <w:t>y</w:t>
      </w:r>
      <w:r>
        <w:rPr>
          <w:rFonts w:hint="eastAsia" w:cs="Times New Roman"/>
          <w:iCs/>
          <w:sz w:val="20"/>
          <w:szCs w:val="20"/>
          <w:lang w:val="en-US" w:eastAsia="zh-CN"/>
        </w:rPr>
        <w:t xml:space="preserve"> </w:t>
      </w:r>
      <w:r>
        <w:rPr>
          <w:rFonts w:ascii="Times New Roman" w:hAnsi="Times New Roman" w:cs="Times New Roman"/>
          <w:iCs/>
          <w:sz w:val="20"/>
          <w:szCs w:val="20"/>
        </w:rPr>
        <w:t>and small CQI ind</w:t>
      </w:r>
      <w:r>
        <w:rPr>
          <w:rFonts w:hint="eastAsia" w:cs="Times New Roman"/>
          <w:iCs/>
          <w:sz w:val="20"/>
          <w:szCs w:val="20"/>
          <w:lang w:val="en-US" w:eastAsia="zh-CN"/>
        </w:rPr>
        <w:t>ice</w:t>
      </w:r>
      <w:r>
        <w:rPr>
          <w:rFonts w:ascii="Times New Roman" w:hAnsi="Times New Roman" w:cs="Times New Roman"/>
          <w:iCs/>
          <w:sz w:val="20"/>
          <w:szCs w:val="20"/>
        </w:rPr>
        <w:t xml:space="preserve">s correspond to </w:t>
      </w:r>
      <w:r>
        <w:rPr>
          <w:rFonts w:hint="eastAsia" w:ascii="Times New Roman" w:hAnsi="Times New Roman" w:cs="Times New Roman"/>
          <w:iCs/>
          <w:sz w:val="20"/>
          <w:szCs w:val="20"/>
        </w:rPr>
        <w:t>i</w:t>
      </w:r>
      <w:r>
        <w:rPr>
          <w:rFonts w:ascii="Times New Roman" w:hAnsi="Times New Roman" w:cs="Times New Roman"/>
          <w:iCs/>
          <w:sz w:val="20"/>
          <w:szCs w:val="20"/>
        </w:rPr>
        <w:t>nterval MCS</w:t>
      </w:r>
      <w:r>
        <w:rPr>
          <w:rFonts w:hint="eastAsia" w:ascii="Times New Roman" w:hAnsi="Times New Roman" w:cs="Times New Roman"/>
          <w:iCs/>
          <w:sz w:val="20"/>
          <w:szCs w:val="20"/>
          <w:lang w:val="en-US" w:eastAsia="zh-CN"/>
        </w:rPr>
        <w:t xml:space="preserve"> levels</w:t>
      </w:r>
      <w:r>
        <w:rPr>
          <w:rFonts w:ascii="Times New Roman" w:hAnsi="Times New Roman" w:cs="Times New Roman"/>
          <w:iCs/>
          <w:sz w:val="20"/>
          <w:szCs w:val="20"/>
        </w:rPr>
        <w:t xml:space="preserve"> </w:t>
      </w:r>
      <w:r>
        <w:rPr>
          <w:rFonts w:hint="eastAsia" w:ascii="Times New Roman" w:hAnsi="Times New Roman" w:cs="Times New Roman"/>
          <w:iCs/>
          <w:sz w:val="20"/>
          <w:szCs w:val="20"/>
        </w:rPr>
        <w:t>with</w:t>
      </w:r>
      <w:r>
        <w:rPr>
          <w:rFonts w:ascii="Times New Roman" w:hAnsi="Times New Roman" w:cs="Times New Roman"/>
          <w:iCs/>
          <w:sz w:val="20"/>
          <w:szCs w:val="20"/>
        </w:rPr>
        <w:t xml:space="preserve"> </w:t>
      </w:r>
      <w:r>
        <w:rPr>
          <w:rFonts w:hint="eastAsia" w:ascii="Times New Roman" w:hAnsi="Times New Roman" w:cs="Times New Roman"/>
          <w:iCs/>
          <w:sz w:val="20"/>
          <w:szCs w:val="20"/>
        </w:rPr>
        <w:t>low</w:t>
      </w:r>
      <w:r>
        <w:rPr>
          <w:rFonts w:ascii="Times New Roman" w:hAnsi="Times New Roman" w:cs="Times New Roman"/>
          <w:iCs/>
          <w:sz w:val="20"/>
          <w:szCs w:val="20"/>
        </w:rPr>
        <w:t xml:space="preserve"> spectral efficien</w:t>
      </w:r>
      <w:r>
        <w:rPr>
          <w:rFonts w:hint="eastAsia" w:ascii="Times New Roman" w:hAnsi="Times New Roman" w:cs="Times New Roman"/>
          <w:iCs/>
          <w:sz w:val="20"/>
          <w:szCs w:val="20"/>
          <w:lang w:val="en-US" w:eastAsia="zh-CN"/>
        </w:rPr>
        <w:t>cy</w:t>
      </w:r>
      <w:r>
        <w:rPr>
          <w:rFonts w:hint="eastAsia" w:ascii="Times New Roman" w:hAnsi="Times New Roman" w:cs="Times New Roman"/>
          <w:iCs/>
          <w:sz w:val="20"/>
          <w:szCs w:val="20"/>
        </w:rPr>
        <w:t>.</w:t>
      </w:r>
      <w:r>
        <w:rPr>
          <w:rFonts w:hint="eastAsia" w:cs="Times New Roman"/>
          <w:iCs/>
          <w:sz w:val="20"/>
          <w:szCs w:val="20"/>
          <w:lang w:val="en-US" w:eastAsia="zh-CN"/>
        </w:rPr>
        <w:t xml:space="preserve"> Therefore, Table 3 is given for channel quality report for NB-IoT 16QAM. Based on this CQI table, more transport block size</w:t>
      </w:r>
      <w:r>
        <w:rPr>
          <w:rFonts w:hint="eastAsia" w:eastAsia="宋体" w:cs="Times New Roman"/>
          <w:i w:val="0"/>
          <w:caps w:val="0"/>
          <w:color w:val="000000"/>
          <w:spacing w:val="0"/>
          <w:sz w:val="20"/>
          <w:szCs w:val="20"/>
          <w:shd w:val="clear" w:fill="FFFFFF"/>
          <w:lang w:val="en-US" w:eastAsia="zh-CN"/>
        </w:rPr>
        <w:t xml:space="preserve">s can be selected and reported for NPDSCH. </w:t>
      </w:r>
    </w:p>
    <w:p>
      <w:pPr>
        <w:jc w:val="center"/>
        <w:rPr>
          <w:rFonts w:hint="default" w:ascii="Times New Roman" w:hAnsi="Times New Roman" w:cs="Times New Roman" w:eastAsiaTheme="minorEastAsia"/>
          <w:iCs/>
          <w:sz w:val="20"/>
          <w:szCs w:val="20"/>
          <w:lang w:val="en-US" w:eastAsia="zh-CN"/>
        </w:rPr>
      </w:pPr>
      <w:r>
        <w:rPr>
          <w:rFonts w:hint="eastAsia" w:ascii="Times New Roman" w:hAnsi="Times New Roman" w:cs="Times New Roman"/>
          <w:iCs/>
          <w:sz w:val="20"/>
          <w:szCs w:val="20"/>
          <w:lang w:val="en-US" w:eastAsia="zh-CN"/>
        </w:rPr>
        <w:t xml:space="preserve">Table </w:t>
      </w:r>
      <w:r>
        <w:rPr>
          <w:rFonts w:hint="eastAsia" w:cs="Times New Roman"/>
          <w:iCs/>
          <w:sz w:val="20"/>
          <w:szCs w:val="20"/>
          <w:lang w:val="en-US" w:eastAsia="zh-CN"/>
        </w:rPr>
        <w:t>3</w:t>
      </w:r>
      <w:r>
        <w:rPr>
          <w:rFonts w:hint="eastAsia" w:ascii="Times New Roman" w:hAnsi="Times New Roman" w:cs="Times New Roman"/>
          <w:iCs/>
          <w:sz w:val="20"/>
          <w:szCs w:val="20"/>
          <w:lang w:val="en-US" w:eastAsia="zh-CN"/>
        </w:rPr>
        <w:t>: CQI table for 16QAM</w:t>
      </w:r>
      <w:r>
        <w:rPr>
          <w:rFonts w:hint="eastAsia" w:cs="Times New Roman"/>
          <w:iCs/>
          <w:sz w:val="20"/>
          <w:szCs w:val="20"/>
          <w:lang w:val="en-US" w:eastAsia="zh-CN"/>
        </w:rPr>
        <w:t xml:space="preserve"> for</w:t>
      </w:r>
      <w:r>
        <w:rPr>
          <w:rFonts w:ascii="Times New Roman" w:hAnsi="Times New Roman" w:cs="Times New Roman"/>
          <w:iCs/>
          <w:sz w:val="20"/>
          <w:szCs w:val="20"/>
        </w:rPr>
        <w:t xml:space="preserve"> </w:t>
      </w:r>
      <w:r>
        <w:rPr>
          <w:rFonts w:hint="eastAsia" w:cs="Times New Roman"/>
          <w:iCs/>
          <w:sz w:val="20"/>
          <w:szCs w:val="20"/>
          <w:lang w:val="en-US" w:eastAsia="zh-CN"/>
        </w:rPr>
        <w:t>standalone and guard-band deployments</w:t>
      </w:r>
    </w:p>
    <w:tbl>
      <w:tblPr>
        <w:tblStyle w:val="26"/>
        <w:tblW w:w="0" w:type="auto"/>
        <w:jc w:val="center"/>
        <w:tblLayout w:type="autofit"/>
        <w:tblCellMar>
          <w:top w:w="0" w:type="dxa"/>
          <w:left w:w="0" w:type="dxa"/>
          <w:bottom w:w="0" w:type="dxa"/>
          <w:right w:w="0" w:type="dxa"/>
        </w:tblCellMar>
      </w:tblPr>
      <w:tblGrid>
        <w:gridCol w:w="1155"/>
        <w:gridCol w:w="1228"/>
        <w:gridCol w:w="1761"/>
        <w:gridCol w:w="1761"/>
      </w:tblGrid>
      <w:tr>
        <w:tblPrEx>
          <w:tblCellMar>
            <w:top w:w="0" w:type="dxa"/>
            <w:left w:w="0" w:type="dxa"/>
            <w:bottom w:w="0" w:type="dxa"/>
            <w:right w:w="0" w:type="dxa"/>
          </w:tblCellMar>
        </w:tblPrEx>
        <w:trPr>
          <w:jc w:val="center"/>
        </w:trPr>
        <w:tc>
          <w:tcPr>
            <w:tcW w:w="1155" w:type="dxa"/>
            <w:tcBorders>
              <w:top w:val="single" w:color="auto" w:sz="8" w:space="0"/>
              <w:left w:val="single" w:color="auto" w:sz="8" w:space="0"/>
              <w:bottom w:val="double" w:color="auto" w:sz="4" w:space="0"/>
              <w:right w:val="single" w:color="auto" w:sz="8" w:space="0"/>
            </w:tcBorders>
            <w:shd w:val="clear" w:color="auto" w:fill="E0E0E0"/>
            <w:tcMar>
              <w:top w:w="0" w:type="dxa"/>
              <w:left w:w="108" w:type="dxa"/>
              <w:bottom w:w="0" w:type="dxa"/>
              <w:right w:w="108" w:type="dxa"/>
            </w:tcMar>
          </w:tcPr>
          <w:p>
            <w:pPr>
              <w:pStyle w:val="49"/>
              <w:widowControl/>
              <w:suppressLineNumbers w:val="0"/>
              <w:spacing w:before="0" w:beforeAutospacing="0" w:afterAutospacing="0"/>
              <w:ind w:left="0" w:right="0"/>
              <w:rPr>
                <w:rFonts w:hint="default"/>
              </w:rPr>
            </w:pPr>
            <w:r>
              <w:rPr>
                <w:rFonts w:hint="default"/>
              </w:rPr>
              <w:t>CQI index</w:t>
            </w:r>
          </w:p>
        </w:tc>
        <w:tc>
          <w:tcPr>
            <w:tcW w:w="1228" w:type="dxa"/>
            <w:tcBorders>
              <w:top w:val="single" w:color="auto" w:sz="8" w:space="0"/>
              <w:left w:val="nil"/>
              <w:bottom w:val="double" w:color="auto" w:sz="4" w:space="0"/>
              <w:right w:val="single" w:color="auto" w:sz="8" w:space="0"/>
            </w:tcBorders>
            <w:shd w:val="clear" w:color="auto" w:fill="E0E0E0"/>
            <w:tcMar>
              <w:top w:w="0" w:type="dxa"/>
              <w:left w:w="108" w:type="dxa"/>
              <w:bottom w:w="0" w:type="dxa"/>
              <w:right w:w="108" w:type="dxa"/>
            </w:tcMar>
          </w:tcPr>
          <w:p>
            <w:pPr>
              <w:pStyle w:val="49"/>
              <w:widowControl/>
              <w:suppressLineNumbers w:val="0"/>
              <w:spacing w:before="0" w:beforeAutospacing="0" w:afterAutospacing="0"/>
              <w:ind w:left="0" w:right="0"/>
              <w:rPr>
                <w:rFonts w:hint="default"/>
              </w:rPr>
            </w:pPr>
            <w:r>
              <w:rPr>
                <w:rFonts w:hint="default"/>
              </w:rPr>
              <w:t>modulation</w:t>
            </w:r>
          </w:p>
        </w:tc>
        <w:tc>
          <w:tcPr>
            <w:tcW w:w="1761" w:type="dxa"/>
            <w:tcBorders>
              <w:top w:val="single" w:color="auto" w:sz="8" w:space="0"/>
              <w:left w:val="nil"/>
              <w:bottom w:val="double" w:color="auto" w:sz="4" w:space="0"/>
              <w:right w:val="single" w:color="auto" w:sz="8" w:space="0"/>
            </w:tcBorders>
            <w:shd w:val="clear" w:color="auto" w:fill="E0E0E0"/>
            <w:tcMar>
              <w:top w:w="0" w:type="dxa"/>
              <w:left w:w="108" w:type="dxa"/>
              <w:bottom w:w="0" w:type="dxa"/>
              <w:right w:w="108" w:type="dxa"/>
            </w:tcMar>
          </w:tcPr>
          <w:p>
            <w:pPr>
              <w:pStyle w:val="49"/>
              <w:widowControl/>
              <w:suppressLineNumbers w:val="0"/>
              <w:spacing w:before="0" w:beforeAutospacing="0" w:afterAutospacing="0"/>
              <w:ind w:left="0" w:right="0"/>
              <w:rPr>
                <w:rFonts w:hint="default" w:eastAsia="宋体"/>
                <w:lang w:val="en-US" w:eastAsia="zh-CN"/>
              </w:rPr>
            </w:pPr>
            <w:r>
              <w:rPr>
                <w:rFonts w:hint="eastAsia" w:eastAsia="宋体"/>
                <w:lang w:val="en-US" w:eastAsia="zh-CN"/>
              </w:rPr>
              <w:t>TBS index</w:t>
            </w:r>
          </w:p>
        </w:tc>
        <w:tc>
          <w:tcPr>
            <w:tcW w:w="1761" w:type="dxa"/>
            <w:tcBorders>
              <w:top w:val="single" w:color="auto" w:sz="8" w:space="0"/>
              <w:left w:val="nil"/>
              <w:bottom w:val="double" w:color="auto" w:sz="4" w:space="0"/>
              <w:right w:val="single" w:color="auto" w:sz="8" w:space="0"/>
            </w:tcBorders>
            <w:shd w:val="clear" w:color="auto" w:fill="E0E0E0"/>
            <w:tcMar>
              <w:top w:w="0" w:type="dxa"/>
              <w:left w:w="108" w:type="dxa"/>
              <w:bottom w:w="0" w:type="dxa"/>
              <w:right w:w="108" w:type="dxa"/>
            </w:tcMar>
          </w:tcPr>
          <w:p>
            <w:pPr>
              <w:pStyle w:val="49"/>
              <w:widowControl/>
              <w:suppressLineNumbers w:val="0"/>
              <w:spacing w:before="0" w:beforeAutospacing="0" w:afterAutospacing="0"/>
              <w:ind w:left="0" w:right="0"/>
              <w:rPr>
                <w:rFonts w:hint="default" w:eastAsia="宋体"/>
                <w:color w:val="948A54" w:themeColor="background2" w:themeShade="80"/>
                <w:highlight w:val="none"/>
                <w:lang w:val="en-US" w:eastAsia="zh-CN"/>
              </w:rPr>
            </w:pPr>
            <w:r>
              <w:rPr>
                <w:rFonts w:hint="eastAsia" w:eastAsia="宋体"/>
                <w:color w:val="948A54" w:themeColor="background2" w:themeShade="80"/>
                <w:highlight w:val="none"/>
                <w:lang w:val="en-US" w:eastAsia="zh-CN"/>
              </w:rPr>
              <w:t>SNR at BLER of 10% (dB)</w:t>
            </w:r>
          </w:p>
        </w:tc>
      </w:tr>
      <w:tr>
        <w:tblPrEx>
          <w:tblCellMar>
            <w:top w:w="0" w:type="dxa"/>
            <w:left w:w="0" w:type="dxa"/>
            <w:bottom w:w="0" w:type="dxa"/>
            <w:right w:w="0" w:type="dxa"/>
          </w:tblCellMar>
        </w:tblPrEx>
        <w:trPr>
          <w:jc w:val="center"/>
        </w:trPr>
        <w:tc>
          <w:tcPr>
            <w:tcW w:w="1155" w:type="dxa"/>
            <w:tcBorders>
              <w:top w:val="double" w:color="auto" w:sz="4" w:space="0"/>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pStyle w:val="50"/>
              <w:widowControl/>
              <w:suppressLineNumbers w:val="0"/>
              <w:spacing w:before="0" w:beforeAutospacing="0" w:afterAutospacing="0"/>
              <w:ind w:left="0" w:right="0"/>
              <w:rPr>
                <w:rFonts w:hint="default"/>
              </w:rPr>
            </w:pPr>
            <w:r>
              <w:rPr>
                <w:rFonts w:hint="default"/>
              </w:rPr>
              <w:t>0</w:t>
            </w:r>
          </w:p>
        </w:tc>
        <w:tc>
          <w:tcPr>
            <w:tcW w:w="2989" w:type="dxa"/>
            <w:gridSpan w:val="2"/>
            <w:tcBorders>
              <w:top w:val="nil"/>
              <w:left w:val="nil"/>
              <w:bottom w:val="single" w:color="auto" w:sz="8" w:space="0"/>
              <w:right w:val="single" w:color="auto" w:sz="8" w:space="0"/>
            </w:tcBorders>
            <w:tcMar>
              <w:top w:w="0" w:type="dxa"/>
              <w:left w:w="108" w:type="dxa"/>
              <w:bottom w:w="0" w:type="dxa"/>
              <w:right w:w="108" w:type="dxa"/>
            </w:tcMar>
          </w:tcPr>
          <w:p>
            <w:pPr>
              <w:pStyle w:val="50"/>
              <w:widowControl/>
              <w:suppressLineNumbers w:val="0"/>
              <w:spacing w:before="0" w:beforeAutospacing="0" w:afterAutospacing="0"/>
              <w:ind w:left="0" w:right="0"/>
              <w:rPr>
                <w:rFonts w:hint="default"/>
              </w:rPr>
            </w:pPr>
            <w:r>
              <w:rPr>
                <w:rFonts w:hint="default"/>
              </w:rPr>
              <w:t>out of range</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pStyle w:val="50"/>
              <w:widowControl/>
              <w:suppressLineNumbers w:val="0"/>
              <w:spacing w:before="0" w:beforeAutospacing="0" w:afterAutospacing="0"/>
              <w:ind w:left="0" w:right="0"/>
              <w:rPr>
                <w:rFonts w:hint="default"/>
                <w:color w:val="948A54" w:themeColor="background2" w:themeShade="80"/>
              </w:rPr>
            </w:pPr>
          </w:p>
        </w:tc>
      </w:tr>
      <w:tr>
        <w:tblPrEx>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pStyle w:val="50"/>
              <w:widowControl/>
              <w:suppressLineNumbers w:val="0"/>
              <w:spacing w:before="0" w:beforeAutospacing="0" w:afterAutospacing="0"/>
              <w:ind w:left="0" w:right="0"/>
              <w:rPr>
                <w:rFonts w:hint="default"/>
              </w:rPr>
            </w:pPr>
            <w:r>
              <w:rPr>
                <w:rFonts w:hint="default"/>
              </w:rPr>
              <w:t>1</w:t>
            </w:r>
          </w:p>
        </w:tc>
        <w:tc>
          <w:tcPr>
            <w:tcW w:w="1228" w:type="dxa"/>
            <w:tcBorders>
              <w:top w:val="nil"/>
              <w:left w:val="nil"/>
              <w:bottom w:val="single" w:color="auto" w:sz="8" w:space="0"/>
              <w:right w:val="single" w:color="auto" w:sz="8" w:space="0"/>
            </w:tcBorders>
            <w:tcMar>
              <w:top w:w="0" w:type="dxa"/>
              <w:left w:w="108" w:type="dxa"/>
              <w:bottom w:w="0" w:type="dxa"/>
              <w:right w:w="108" w:type="dxa"/>
            </w:tcMar>
          </w:tcPr>
          <w:p>
            <w:pPr>
              <w:pStyle w:val="50"/>
              <w:widowControl/>
              <w:suppressLineNumbers w:val="0"/>
              <w:spacing w:before="0" w:beforeAutospacing="0" w:afterAutospacing="0"/>
              <w:ind w:left="0" w:right="0"/>
              <w:rPr>
                <w:rFonts w:hint="default"/>
              </w:rPr>
            </w:pPr>
            <w:r>
              <w:rPr>
                <w:rFonts w:hint="default"/>
              </w:rPr>
              <w:t>Q</w:t>
            </w:r>
            <w:r>
              <w:rPr>
                <w:rFonts w:hint="eastAsia"/>
              </w:rPr>
              <w:t>PSK</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pStyle w:val="50"/>
              <w:widowControl/>
              <w:suppressLineNumbers w:val="0"/>
              <w:spacing w:before="0" w:beforeAutospacing="0" w:afterAutospacing="0"/>
              <w:ind w:left="0" w:right="0"/>
              <w:rPr>
                <w:rFonts w:hint="eastAsia" w:eastAsia="宋体"/>
                <w:lang w:val="en-US" w:eastAsia="zh-CN"/>
              </w:rPr>
            </w:pPr>
            <w:r>
              <w:rPr>
                <w:rFonts w:hint="eastAsia" w:eastAsia="宋体"/>
                <w:lang w:val="en-US" w:eastAsia="zh-CN"/>
              </w:rPr>
              <w:t>0</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pStyle w:val="50"/>
              <w:widowControl/>
              <w:suppressLineNumbers w:val="0"/>
              <w:spacing w:before="0" w:beforeAutospacing="0" w:afterAutospacing="0"/>
              <w:ind w:left="0" w:right="0"/>
              <w:rPr>
                <w:rFonts w:hint="default" w:eastAsia="宋体"/>
                <w:color w:val="948A54" w:themeColor="background2" w:themeShade="80"/>
                <w:lang w:val="en-US" w:eastAsia="zh-CN"/>
              </w:rPr>
            </w:pPr>
            <w:r>
              <w:rPr>
                <w:rFonts w:hint="eastAsia" w:eastAsia="宋体"/>
                <w:color w:val="948A54" w:themeColor="background2" w:themeShade="80"/>
                <w:lang w:val="en-US" w:eastAsia="zh-CN"/>
              </w:rPr>
              <w:t>-5.4</w:t>
            </w:r>
          </w:p>
        </w:tc>
      </w:tr>
      <w:tr>
        <w:tblPrEx>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pStyle w:val="50"/>
              <w:widowControl/>
              <w:suppressLineNumbers w:val="0"/>
              <w:spacing w:before="0" w:beforeAutospacing="0" w:afterAutospacing="0"/>
              <w:ind w:left="0" w:right="0"/>
              <w:rPr>
                <w:rFonts w:hint="default"/>
              </w:rPr>
            </w:pPr>
            <w:r>
              <w:rPr>
                <w:rFonts w:hint="default"/>
              </w:rPr>
              <w:t>2</w:t>
            </w:r>
          </w:p>
        </w:tc>
        <w:tc>
          <w:tcPr>
            <w:tcW w:w="1228" w:type="dxa"/>
            <w:tcBorders>
              <w:top w:val="nil"/>
              <w:left w:val="nil"/>
              <w:bottom w:val="single" w:color="auto" w:sz="8" w:space="0"/>
              <w:right w:val="single" w:color="auto" w:sz="8" w:space="0"/>
            </w:tcBorders>
            <w:tcMar>
              <w:top w:w="0" w:type="dxa"/>
              <w:left w:w="108" w:type="dxa"/>
              <w:bottom w:w="0" w:type="dxa"/>
              <w:right w:w="108" w:type="dxa"/>
            </w:tcMar>
          </w:tcPr>
          <w:p>
            <w:pPr>
              <w:pStyle w:val="50"/>
              <w:widowControl/>
              <w:suppressLineNumbers w:val="0"/>
              <w:spacing w:before="0" w:beforeAutospacing="0" w:afterAutospacing="0"/>
              <w:ind w:left="0" w:right="0"/>
              <w:rPr>
                <w:rFonts w:hint="default"/>
              </w:rPr>
            </w:pPr>
            <w:r>
              <w:rPr>
                <w:rFonts w:hint="default"/>
              </w:rPr>
              <w:t>Q</w:t>
            </w:r>
            <w:r>
              <w:rPr>
                <w:rFonts w:hint="eastAsia"/>
              </w:rPr>
              <w:t>PSK</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pStyle w:val="50"/>
              <w:widowControl/>
              <w:suppressLineNumbers w:val="0"/>
              <w:spacing w:before="0" w:beforeAutospacing="0" w:afterAutospacing="0"/>
              <w:ind w:left="0" w:right="0"/>
              <w:rPr>
                <w:rFonts w:hint="eastAsia" w:eastAsia="宋体"/>
                <w:lang w:val="en-US" w:eastAsia="zh-CN"/>
              </w:rPr>
            </w:pPr>
            <w:r>
              <w:rPr>
                <w:rFonts w:hint="eastAsia" w:eastAsia="宋体"/>
                <w:lang w:val="en-US" w:eastAsia="zh-CN"/>
              </w:rPr>
              <w:t>2</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pStyle w:val="50"/>
              <w:widowControl/>
              <w:suppressLineNumbers w:val="0"/>
              <w:spacing w:before="0" w:beforeAutospacing="0" w:afterAutospacing="0"/>
              <w:ind w:left="0" w:right="0"/>
              <w:rPr>
                <w:rFonts w:hint="default" w:eastAsia="宋体"/>
                <w:color w:val="948A54" w:themeColor="background2" w:themeShade="80"/>
                <w:lang w:val="en-US" w:eastAsia="zh-CN"/>
              </w:rPr>
            </w:pPr>
            <w:r>
              <w:rPr>
                <w:rFonts w:hint="eastAsia" w:eastAsia="宋体"/>
                <w:color w:val="948A54" w:themeColor="background2" w:themeShade="80"/>
                <w:lang w:val="en-US" w:eastAsia="zh-CN"/>
              </w:rPr>
              <w:t>-3.1</w:t>
            </w:r>
          </w:p>
        </w:tc>
      </w:tr>
      <w:tr>
        <w:tblPrEx>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pStyle w:val="50"/>
              <w:widowControl/>
              <w:suppressLineNumbers w:val="0"/>
              <w:spacing w:before="0" w:beforeAutospacing="0" w:afterAutospacing="0"/>
              <w:ind w:left="0" w:right="0"/>
              <w:rPr>
                <w:rFonts w:hint="default"/>
              </w:rPr>
            </w:pPr>
            <w:r>
              <w:rPr>
                <w:rFonts w:hint="default"/>
              </w:rPr>
              <w:t>3</w:t>
            </w:r>
          </w:p>
        </w:tc>
        <w:tc>
          <w:tcPr>
            <w:tcW w:w="1228" w:type="dxa"/>
            <w:tcBorders>
              <w:top w:val="nil"/>
              <w:left w:val="nil"/>
              <w:bottom w:val="single" w:color="auto" w:sz="8" w:space="0"/>
              <w:right w:val="single" w:color="auto" w:sz="8" w:space="0"/>
            </w:tcBorders>
            <w:tcMar>
              <w:top w:w="0" w:type="dxa"/>
              <w:left w:w="108" w:type="dxa"/>
              <w:bottom w:w="0" w:type="dxa"/>
              <w:right w:w="108" w:type="dxa"/>
            </w:tcMar>
          </w:tcPr>
          <w:p>
            <w:pPr>
              <w:pStyle w:val="50"/>
              <w:widowControl/>
              <w:suppressLineNumbers w:val="0"/>
              <w:spacing w:before="0" w:beforeAutospacing="0" w:afterAutospacing="0"/>
              <w:ind w:left="0" w:right="0"/>
              <w:rPr>
                <w:rFonts w:hint="default"/>
              </w:rPr>
            </w:pPr>
            <w:r>
              <w:rPr>
                <w:rFonts w:hint="default"/>
              </w:rPr>
              <w:t>Q</w:t>
            </w:r>
            <w:r>
              <w:rPr>
                <w:rFonts w:hint="eastAsia"/>
              </w:rPr>
              <w:t>PSK</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pStyle w:val="50"/>
              <w:widowControl/>
              <w:suppressLineNumbers w:val="0"/>
              <w:spacing w:before="0" w:beforeAutospacing="0" w:afterAutospacing="0"/>
              <w:ind w:left="0" w:right="0"/>
              <w:rPr>
                <w:rFonts w:hint="eastAsia" w:eastAsia="宋体"/>
                <w:lang w:val="en-US" w:eastAsia="zh-CN"/>
              </w:rPr>
            </w:pPr>
            <w:r>
              <w:rPr>
                <w:rFonts w:hint="eastAsia" w:eastAsia="宋体"/>
                <w:lang w:val="en-US" w:eastAsia="zh-CN"/>
              </w:rPr>
              <w:t>4</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pStyle w:val="50"/>
              <w:widowControl/>
              <w:suppressLineNumbers w:val="0"/>
              <w:spacing w:before="0" w:beforeAutospacing="0" w:afterAutospacing="0"/>
              <w:ind w:left="0" w:right="0"/>
              <w:rPr>
                <w:rFonts w:hint="default" w:eastAsia="宋体"/>
                <w:color w:val="948A54" w:themeColor="background2" w:themeShade="80"/>
                <w:lang w:val="en-US" w:eastAsia="zh-CN"/>
              </w:rPr>
            </w:pPr>
            <w:r>
              <w:rPr>
                <w:rFonts w:hint="eastAsia" w:eastAsia="宋体"/>
                <w:color w:val="948A54" w:themeColor="background2" w:themeShade="80"/>
                <w:lang w:val="en-US" w:eastAsia="zh-CN"/>
              </w:rPr>
              <w:t>-0.9</w:t>
            </w:r>
          </w:p>
        </w:tc>
      </w:tr>
      <w:tr>
        <w:tblPrEx>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pStyle w:val="50"/>
              <w:widowControl/>
              <w:suppressLineNumbers w:val="0"/>
              <w:spacing w:before="0" w:beforeAutospacing="0" w:afterAutospacing="0"/>
              <w:ind w:left="0" w:right="0"/>
              <w:rPr>
                <w:rFonts w:hint="default"/>
              </w:rPr>
            </w:pPr>
            <w:r>
              <w:rPr>
                <w:rFonts w:hint="default"/>
              </w:rPr>
              <w:t>4</w:t>
            </w:r>
          </w:p>
        </w:tc>
        <w:tc>
          <w:tcPr>
            <w:tcW w:w="1228" w:type="dxa"/>
            <w:tcBorders>
              <w:top w:val="nil"/>
              <w:left w:val="nil"/>
              <w:bottom w:val="single" w:color="auto" w:sz="8" w:space="0"/>
              <w:right w:val="single" w:color="auto" w:sz="8" w:space="0"/>
            </w:tcBorders>
            <w:tcMar>
              <w:top w:w="0" w:type="dxa"/>
              <w:left w:w="108" w:type="dxa"/>
              <w:bottom w:w="0" w:type="dxa"/>
              <w:right w:w="108" w:type="dxa"/>
            </w:tcMar>
          </w:tcPr>
          <w:p>
            <w:pPr>
              <w:pStyle w:val="50"/>
              <w:widowControl/>
              <w:suppressLineNumbers w:val="0"/>
              <w:spacing w:before="0" w:beforeAutospacing="0" w:afterAutospacing="0"/>
              <w:ind w:left="0" w:right="0"/>
              <w:rPr>
                <w:rFonts w:hint="default"/>
              </w:rPr>
            </w:pPr>
            <w:r>
              <w:rPr>
                <w:rFonts w:hint="default"/>
              </w:rPr>
              <w:t>Q</w:t>
            </w:r>
            <w:r>
              <w:rPr>
                <w:rFonts w:hint="eastAsia"/>
              </w:rPr>
              <w:t>PSK</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pStyle w:val="50"/>
              <w:widowControl/>
              <w:suppressLineNumbers w:val="0"/>
              <w:spacing w:before="0" w:beforeAutospacing="0" w:afterAutospacing="0"/>
              <w:ind w:left="0" w:right="0"/>
              <w:rPr>
                <w:rFonts w:hint="eastAsia" w:eastAsia="宋体"/>
                <w:lang w:val="en-US" w:eastAsia="zh-CN"/>
              </w:rPr>
            </w:pPr>
            <w:r>
              <w:rPr>
                <w:rFonts w:hint="eastAsia" w:eastAsia="宋体"/>
                <w:lang w:val="en-US" w:eastAsia="zh-CN"/>
              </w:rPr>
              <w:t>6</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pStyle w:val="50"/>
              <w:widowControl/>
              <w:suppressLineNumbers w:val="0"/>
              <w:spacing w:before="0" w:beforeAutospacing="0" w:afterAutospacing="0"/>
              <w:ind w:left="0" w:right="0"/>
              <w:rPr>
                <w:rFonts w:hint="default" w:eastAsia="宋体"/>
                <w:color w:val="948A54" w:themeColor="background2" w:themeShade="80"/>
                <w:lang w:val="en-US" w:eastAsia="zh-CN"/>
              </w:rPr>
            </w:pPr>
            <w:r>
              <w:rPr>
                <w:rFonts w:hint="eastAsia" w:eastAsia="宋体"/>
                <w:color w:val="948A54" w:themeColor="background2" w:themeShade="80"/>
                <w:lang w:val="en-US" w:eastAsia="zh-CN"/>
              </w:rPr>
              <w:t>1.0</w:t>
            </w:r>
          </w:p>
        </w:tc>
      </w:tr>
      <w:tr>
        <w:tblPrEx>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pStyle w:val="50"/>
              <w:widowControl/>
              <w:suppressLineNumbers w:val="0"/>
              <w:spacing w:before="0" w:beforeAutospacing="0" w:afterAutospacing="0"/>
              <w:ind w:left="0" w:right="0"/>
              <w:rPr>
                <w:rFonts w:hint="default"/>
              </w:rPr>
            </w:pPr>
            <w:r>
              <w:rPr>
                <w:rFonts w:hint="default"/>
              </w:rPr>
              <w:t>5</w:t>
            </w:r>
          </w:p>
        </w:tc>
        <w:tc>
          <w:tcPr>
            <w:tcW w:w="1228" w:type="dxa"/>
            <w:tcBorders>
              <w:top w:val="nil"/>
              <w:left w:val="nil"/>
              <w:bottom w:val="single" w:color="auto" w:sz="8" w:space="0"/>
              <w:right w:val="single" w:color="auto" w:sz="8" w:space="0"/>
            </w:tcBorders>
            <w:tcMar>
              <w:top w:w="0" w:type="dxa"/>
              <w:left w:w="108" w:type="dxa"/>
              <w:bottom w:w="0" w:type="dxa"/>
              <w:right w:w="108" w:type="dxa"/>
            </w:tcMar>
          </w:tcPr>
          <w:p>
            <w:pPr>
              <w:pStyle w:val="50"/>
              <w:widowControl/>
              <w:suppressLineNumbers w:val="0"/>
              <w:spacing w:before="0" w:beforeAutospacing="0" w:afterAutospacing="0"/>
              <w:ind w:left="0" w:right="0"/>
              <w:rPr>
                <w:rFonts w:hint="default"/>
              </w:rPr>
            </w:pPr>
            <w:r>
              <w:rPr>
                <w:rFonts w:hint="default"/>
              </w:rPr>
              <w:t>Q</w:t>
            </w:r>
            <w:r>
              <w:rPr>
                <w:rFonts w:hint="eastAsia"/>
              </w:rPr>
              <w:t>PSK</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pStyle w:val="50"/>
              <w:widowControl/>
              <w:suppressLineNumbers w:val="0"/>
              <w:spacing w:before="0" w:beforeAutospacing="0" w:afterAutospacing="0"/>
              <w:ind w:left="0" w:right="0"/>
              <w:rPr>
                <w:rFonts w:hint="eastAsia" w:eastAsia="宋体"/>
                <w:lang w:val="en-US" w:eastAsia="zh-CN"/>
              </w:rPr>
            </w:pPr>
            <w:r>
              <w:rPr>
                <w:rFonts w:hint="eastAsia" w:eastAsia="宋体"/>
                <w:lang w:val="en-US" w:eastAsia="zh-CN"/>
              </w:rPr>
              <w:t>8</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pStyle w:val="50"/>
              <w:widowControl/>
              <w:suppressLineNumbers w:val="0"/>
              <w:spacing w:before="0" w:beforeAutospacing="0" w:afterAutospacing="0"/>
              <w:ind w:left="0" w:right="0"/>
              <w:rPr>
                <w:rFonts w:hint="default" w:eastAsia="宋体"/>
                <w:color w:val="948A54" w:themeColor="background2" w:themeShade="80"/>
                <w:lang w:val="en-US" w:eastAsia="zh-CN"/>
              </w:rPr>
            </w:pPr>
            <w:r>
              <w:rPr>
                <w:rFonts w:hint="eastAsia" w:eastAsia="宋体"/>
                <w:color w:val="948A54" w:themeColor="background2" w:themeShade="80"/>
                <w:lang w:val="en-US" w:eastAsia="zh-CN"/>
              </w:rPr>
              <w:t>2.6</w:t>
            </w:r>
          </w:p>
        </w:tc>
      </w:tr>
      <w:tr>
        <w:tblPrEx>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pStyle w:val="50"/>
              <w:widowControl/>
              <w:suppressLineNumbers w:val="0"/>
              <w:spacing w:before="0" w:beforeAutospacing="0" w:afterAutospacing="0"/>
              <w:ind w:left="0" w:right="0"/>
              <w:rPr>
                <w:rFonts w:hint="default"/>
              </w:rPr>
            </w:pPr>
            <w:r>
              <w:rPr>
                <w:rFonts w:hint="default"/>
              </w:rPr>
              <w:t>6</w:t>
            </w:r>
          </w:p>
        </w:tc>
        <w:tc>
          <w:tcPr>
            <w:tcW w:w="1228" w:type="dxa"/>
            <w:tcBorders>
              <w:top w:val="nil"/>
              <w:left w:val="nil"/>
              <w:bottom w:val="single" w:color="auto" w:sz="8" w:space="0"/>
              <w:right w:val="single" w:color="auto" w:sz="8" w:space="0"/>
            </w:tcBorders>
            <w:tcMar>
              <w:top w:w="0" w:type="dxa"/>
              <w:left w:w="108" w:type="dxa"/>
              <w:bottom w:w="0" w:type="dxa"/>
              <w:right w:w="108" w:type="dxa"/>
            </w:tcMar>
          </w:tcPr>
          <w:p>
            <w:pPr>
              <w:pStyle w:val="50"/>
              <w:widowControl/>
              <w:suppressLineNumbers w:val="0"/>
              <w:spacing w:before="0" w:beforeAutospacing="0" w:afterAutospacing="0"/>
              <w:ind w:left="0" w:right="0"/>
              <w:rPr>
                <w:rFonts w:hint="default"/>
              </w:rPr>
            </w:pPr>
            <w:r>
              <w:rPr>
                <w:rFonts w:hint="default"/>
              </w:rPr>
              <w:t>Q</w:t>
            </w:r>
            <w:r>
              <w:rPr>
                <w:rFonts w:hint="eastAsia"/>
              </w:rPr>
              <w:t>PSK</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pStyle w:val="50"/>
              <w:widowControl/>
              <w:suppressLineNumbers w:val="0"/>
              <w:spacing w:before="0" w:beforeAutospacing="0" w:afterAutospacing="0"/>
              <w:ind w:left="0" w:right="0"/>
              <w:rPr>
                <w:rFonts w:hint="default" w:eastAsia="宋体"/>
                <w:lang w:val="en-US" w:eastAsia="zh-CN"/>
              </w:rPr>
            </w:pPr>
            <w:r>
              <w:rPr>
                <w:rFonts w:hint="eastAsia" w:eastAsia="宋体"/>
                <w:lang w:val="en-US" w:eastAsia="zh-CN"/>
              </w:rPr>
              <w:t>10</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pStyle w:val="50"/>
              <w:widowControl/>
              <w:suppressLineNumbers w:val="0"/>
              <w:spacing w:before="0" w:beforeAutospacing="0" w:afterAutospacing="0"/>
              <w:ind w:left="0" w:right="0"/>
              <w:rPr>
                <w:rFonts w:hint="default" w:eastAsia="宋体"/>
                <w:color w:val="948A54" w:themeColor="background2" w:themeShade="80"/>
                <w:lang w:val="en-US" w:eastAsia="zh-CN"/>
              </w:rPr>
            </w:pPr>
            <w:r>
              <w:rPr>
                <w:rFonts w:hint="eastAsia" w:eastAsia="宋体"/>
                <w:color w:val="948A54" w:themeColor="background2" w:themeShade="80"/>
                <w:lang w:val="en-US" w:eastAsia="zh-CN"/>
              </w:rPr>
              <w:t>4.1</w:t>
            </w:r>
          </w:p>
        </w:tc>
      </w:tr>
      <w:tr>
        <w:tblPrEx>
          <w:tblCellMar>
            <w:top w:w="0" w:type="dxa"/>
            <w:left w:w="0" w:type="dxa"/>
            <w:bottom w:w="0" w:type="dxa"/>
            <w:right w:w="0" w:type="dxa"/>
          </w:tblCellMar>
        </w:tblPrEx>
        <w:trPr>
          <w:trHeight w:val="203" w:hRule="atLeast"/>
          <w:jc w:val="center"/>
        </w:trPr>
        <w:tc>
          <w:tcPr>
            <w:tcW w:w="1155" w:type="dxa"/>
            <w:tcBorders>
              <w:top w:val="single" w:color="auto" w:sz="8" w:space="0"/>
              <w:left w:val="single" w:color="auto" w:sz="8" w:space="0"/>
              <w:bottom w:val="double" w:color="auto" w:sz="4" w:space="0"/>
              <w:right w:val="single" w:color="auto" w:sz="8" w:space="0"/>
            </w:tcBorders>
            <w:shd w:val="clear" w:color="auto" w:fill="auto"/>
            <w:tcMar>
              <w:top w:w="0" w:type="dxa"/>
              <w:left w:w="108" w:type="dxa"/>
              <w:bottom w:w="0" w:type="dxa"/>
              <w:right w:w="108" w:type="dxa"/>
            </w:tcMar>
            <w:vAlign w:val="top"/>
          </w:tcPr>
          <w:p>
            <w:pPr>
              <w:pStyle w:val="50"/>
              <w:widowControl/>
              <w:suppressLineNumbers w:val="0"/>
              <w:spacing w:before="0" w:beforeAutospacing="0" w:afterAutospacing="0"/>
              <w:ind w:left="0" w:right="0"/>
              <w:rPr>
                <w:rFonts w:hint="default"/>
              </w:rPr>
            </w:pPr>
            <w:r>
              <w:rPr>
                <w:rFonts w:hint="default"/>
              </w:rPr>
              <w:t>7</w:t>
            </w:r>
          </w:p>
        </w:tc>
        <w:tc>
          <w:tcPr>
            <w:tcW w:w="1228" w:type="dxa"/>
            <w:tcBorders>
              <w:top w:val="single" w:color="auto" w:sz="8" w:space="0"/>
              <w:left w:val="single" w:color="auto" w:sz="8" w:space="0"/>
              <w:bottom w:val="double" w:color="auto" w:sz="4" w:space="0"/>
              <w:right w:val="single" w:color="auto" w:sz="8" w:space="0"/>
            </w:tcBorders>
            <w:tcMar>
              <w:top w:w="0" w:type="dxa"/>
              <w:left w:w="108" w:type="dxa"/>
              <w:bottom w:w="0" w:type="dxa"/>
              <w:right w:w="108" w:type="dxa"/>
            </w:tcMar>
            <w:vAlign w:val="top"/>
          </w:tcPr>
          <w:p>
            <w:pPr>
              <w:pStyle w:val="50"/>
              <w:widowControl/>
              <w:suppressLineNumbers w:val="0"/>
              <w:spacing w:before="0" w:beforeAutospacing="0" w:afterAutospacing="0"/>
              <w:ind w:left="0" w:right="0"/>
              <w:rPr>
                <w:rFonts w:hint="default" w:eastAsia="宋体"/>
                <w:lang w:val="en-US" w:eastAsia="zh-CN"/>
              </w:rPr>
            </w:pPr>
            <w:r>
              <w:rPr>
                <w:rFonts w:hint="eastAsia" w:eastAsia="宋体"/>
                <w:lang w:val="en-US" w:eastAsia="zh-CN"/>
              </w:rPr>
              <w:t>QPSK</w:t>
            </w:r>
          </w:p>
        </w:tc>
        <w:tc>
          <w:tcPr>
            <w:tcW w:w="1761" w:type="dxa"/>
            <w:tcBorders>
              <w:top w:val="single" w:color="auto" w:sz="8" w:space="0"/>
              <w:left w:val="single" w:color="auto" w:sz="8" w:space="0"/>
              <w:bottom w:val="double" w:color="auto" w:sz="4" w:space="0"/>
              <w:right w:val="single" w:color="auto" w:sz="8" w:space="0"/>
            </w:tcBorders>
            <w:tcMar>
              <w:top w:w="0" w:type="dxa"/>
              <w:left w:w="108" w:type="dxa"/>
              <w:bottom w:w="0" w:type="dxa"/>
              <w:right w:w="108" w:type="dxa"/>
            </w:tcMar>
            <w:vAlign w:val="top"/>
          </w:tcPr>
          <w:p>
            <w:pPr>
              <w:pStyle w:val="50"/>
              <w:widowControl/>
              <w:suppressLineNumbers w:val="0"/>
              <w:spacing w:before="0" w:beforeAutospacing="0" w:afterAutospacing="0"/>
              <w:ind w:left="0" w:right="0"/>
              <w:rPr>
                <w:rFonts w:hint="default" w:eastAsia="宋体"/>
                <w:lang w:val="en-US" w:eastAsia="zh-CN"/>
              </w:rPr>
            </w:pPr>
            <w:r>
              <w:rPr>
                <w:rFonts w:hint="eastAsia" w:eastAsia="宋体"/>
                <w:lang w:val="en-US" w:eastAsia="zh-CN"/>
              </w:rPr>
              <w:t>12</w:t>
            </w:r>
          </w:p>
        </w:tc>
        <w:tc>
          <w:tcPr>
            <w:tcW w:w="1761" w:type="dxa"/>
            <w:tcBorders>
              <w:top w:val="single" w:color="auto" w:sz="8" w:space="0"/>
              <w:left w:val="single" w:color="auto" w:sz="8" w:space="0"/>
              <w:bottom w:val="double" w:color="auto" w:sz="4" w:space="0"/>
              <w:right w:val="single" w:color="auto" w:sz="8" w:space="0"/>
            </w:tcBorders>
            <w:tcMar>
              <w:top w:w="0" w:type="dxa"/>
              <w:left w:w="108" w:type="dxa"/>
              <w:bottom w:w="0" w:type="dxa"/>
              <w:right w:w="108" w:type="dxa"/>
            </w:tcMar>
            <w:vAlign w:val="top"/>
          </w:tcPr>
          <w:p>
            <w:pPr>
              <w:pStyle w:val="50"/>
              <w:widowControl/>
              <w:suppressLineNumbers w:val="0"/>
              <w:spacing w:before="0" w:beforeAutospacing="0" w:afterAutospacing="0"/>
              <w:ind w:left="0" w:right="0"/>
              <w:rPr>
                <w:rFonts w:hint="default" w:eastAsia="宋体"/>
                <w:color w:val="948A54" w:themeColor="background2" w:themeShade="80"/>
                <w:lang w:val="en-US" w:eastAsia="zh-CN"/>
              </w:rPr>
            </w:pPr>
            <w:r>
              <w:rPr>
                <w:rFonts w:hint="eastAsia" w:eastAsia="宋体"/>
                <w:color w:val="948A54" w:themeColor="background2" w:themeShade="80"/>
                <w:lang w:val="en-US" w:eastAsia="zh-CN"/>
              </w:rPr>
              <w:t>6.3</w:t>
            </w:r>
          </w:p>
        </w:tc>
      </w:tr>
      <w:tr>
        <w:tblPrEx>
          <w:tblCellMar>
            <w:top w:w="0" w:type="dxa"/>
            <w:left w:w="0" w:type="dxa"/>
            <w:bottom w:w="0" w:type="dxa"/>
            <w:right w:w="0" w:type="dxa"/>
          </w:tblCellMar>
        </w:tblPrEx>
        <w:trPr>
          <w:jc w:val="center"/>
        </w:trPr>
        <w:tc>
          <w:tcPr>
            <w:tcW w:w="1155" w:type="dxa"/>
            <w:tcBorders>
              <w:top w:val="double" w:color="auto" w:sz="4" w:space="0"/>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pStyle w:val="50"/>
              <w:widowControl/>
              <w:suppressLineNumbers w:val="0"/>
              <w:spacing w:before="0" w:beforeAutospacing="0" w:afterAutospacing="0"/>
              <w:ind w:left="0" w:right="0"/>
              <w:rPr>
                <w:rFonts w:hint="default"/>
              </w:rPr>
            </w:pPr>
            <w:r>
              <w:rPr>
                <w:rFonts w:hint="default"/>
              </w:rPr>
              <w:t>8</w:t>
            </w:r>
          </w:p>
        </w:tc>
        <w:tc>
          <w:tcPr>
            <w:tcW w:w="1228" w:type="dxa"/>
            <w:tcBorders>
              <w:top w:val="double" w:color="auto" w:sz="4" w:space="0"/>
              <w:left w:val="nil"/>
              <w:bottom w:val="single" w:color="auto" w:sz="8" w:space="0"/>
              <w:right w:val="single" w:color="auto" w:sz="8" w:space="0"/>
            </w:tcBorders>
            <w:tcMar>
              <w:top w:w="0" w:type="dxa"/>
              <w:left w:w="108" w:type="dxa"/>
              <w:bottom w:w="0" w:type="dxa"/>
              <w:right w:w="108" w:type="dxa"/>
            </w:tcMar>
            <w:vAlign w:val="top"/>
          </w:tcPr>
          <w:p>
            <w:pPr>
              <w:pStyle w:val="50"/>
              <w:widowControl/>
              <w:suppressLineNumbers w:val="0"/>
              <w:spacing w:before="0" w:beforeAutospacing="0" w:afterAutospacing="0"/>
              <w:ind w:left="0" w:right="0"/>
              <w:rPr>
                <w:rFonts w:hint="default" w:ascii="Arial" w:hAnsi="Arial" w:eastAsia="Times New Roman" w:cs="Times New Roman"/>
                <w:sz w:val="18"/>
                <w:szCs w:val="20"/>
                <w:lang w:val="en-GB" w:eastAsia="en-GB" w:bidi="ar-SA"/>
              </w:rPr>
            </w:pPr>
            <w:r>
              <w:rPr>
                <w:rFonts w:hint="default"/>
              </w:rPr>
              <w:t>16Q</w:t>
            </w:r>
            <w:r>
              <w:rPr>
                <w:rFonts w:hint="eastAsia"/>
              </w:rPr>
              <w:t>AM</w:t>
            </w:r>
          </w:p>
        </w:tc>
        <w:tc>
          <w:tcPr>
            <w:tcW w:w="1761" w:type="dxa"/>
            <w:tcBorders>
              <w:top w:val="double" w:color="auto" w:sz="4" w:space="0"/>
              <w:left w:val="nil"/>
              <w:bottom w:val="single" w:color="auto" w:sz="8" w:space="0"/>
              <w:right w:val="single" w:color="auto" w:sz="8" w:space="0"/>
            </w:tcBorders>
            <w:tcMar>
              <w:top w:w="0" w:type="dxa"/>
              <w:left w:w="108" w:type="dxa"/>
              <w:bottom w:w="0" w:type="dxa"/>
              <w:right w:w="108" w:type="dxa"/>
            </w:tcMar>
          </w:tcPr>
          <w:p>
            <w:pPr>
              <w:pStyle w:val="50"/>
              <w:widowControl/>
              <w:suppressLineNumbers w:val="0"/>
              <w:spacing w:before="0" w:beforeAutospacing="0" w:afterAutospacing="0"/>
              <w:ind w:left="0" w:right="0"/>
              <w:rPr>
                <w:rFonts w:hint="default" w:eastAsia="宋体"/>
                <w:lang w:val="en-US" w:eastAsia="zh-CN"/>
              </w:rPr>
            </w:pPr>
            <w:r>
              <w:rPr>
                <w:rFonts w:hint="eastAsia" w:eastAsia="宋体"/>
                <w:lang w:val="en-US" w:eastAsia="zh-CN"/>
              </w:rPr>
              <w:t>14</w:t>
            </w:r>
          </w:p>
        </w:tc>
        <w:tc>
          <w:tcPr>
            <w:tcW w:w="1761" w:type="dxa"/>
            <w:tcBorders>
              <w:top w:val="double" w:color="auto" w:sz="4" w:space="0"/>
              <w:left w:val="nil"/>
              <w:bottom w:val="single" w:color="auto" w:sz="8" w:space="0"/>
              <w:right w:val="single" w:color="auto" w:sz="8" w:space="0"/>
            </w:tcBorders>
            <w:tcMar>
              <w:top w:w="0" w:type="dxa"/>
              <w:left w:w="108" w:type="dxa"/>
              <w:bottom w:w="0" w:type="dxa"/>
              <w:right w:w="108" w:type="dxa"/>
            </w:tcMar>
          </w:tcPr>
          <w:p>
            <w:pPr>
              <w:pStyle w:val="50"/>
              <w:widowControl/>
              <w:suppressLineNumbers w:val="0"/>
              <w:spacing w:before="0" w:beforeAutospacing="0" w:afterAutospacing="0"/>
              <w:ind w:left="0" w:right="0"/>
              <w:rPr>
                <w:rFonts w:hint="default" w:eastAsia="宋体"/>
                <w:color w:val="948A54" w:themeColor="background2" w:themeShade="80"/>
                <w:lang w:val="en-US" w:eastAsia="zh-CN"/>
              </w:rPr>
            </w:pPr>
            <w:r>
              <w:rPr>
                <w:rFonts w:hint="eastAsia" w:eastAsia="宋体"/>
                <w:color w:val="948A54" w:themeColor="background2" w:themeShade="80"/>
                <w:lang w:val="en-US" w:eastAsia="zh-CN"/>
              </w:rPr>
              <w:t>8.9</w:t>
            </w:r>
          </w:p>
        </w:tc>
      </w:tr>
      <w:tr>
        <w:tblPrEx>
          <w:tblCellMar>
            <w:top w:w="0" w:type="dxa"/>
            <w:left w:w="0" w:type="dxa"/>
            <w:bottom w:w="0" w:type="dxa"/>
            <w:right w:w="0" w:type="dxa"/>
          </w:tblCellMar>
        </w:tblPrEx>
        <w:trPr>
          <w:jc w:val="center"/>
        </w:trPr>
        <w:tc>
          <w:tcPr>
            <w:tcW w:w="1155"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top"/>
          </w:tcPr>
          <w:p>
            <w:pPr>
              <w:pStyle w:val="50"/>
              <w:widowControl/>
              <w:suppressLineNumbers w:val="0"/>
              <w:spacing w:before="0" w:beforeAutospacing="0" w:afterAutospacing="0"/>
              <w:ind w:left="0" w:right="0"/>
              <w:rPr>
                <w:rFonts w:hint="default"/>
              </w:rPr>
            </w:pPr>
            <w:r>
              <w:rPr>
                <w:rFonts w:hint="default"/>
              </w:rPr>
              <w:t>9</w:t>
            </w:r>
          </w:p>
        </w:tc>
        <w:tc>
          <w:tcPr>
            <w:tcW w:w="122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top"/>
          </w:tcPr>
          <w:p>
            <w:pPr>
              <w:pStyle w:val="50"/>
              <w:widowControl/>
              <w:suppressLineNumbers w:val="0"/>
              <w:spacing w:before="0" w:beforeAutospacing="0" w:afterAutospacing="0"/>
              <w:ind w:left="0" w:right="0"/>
              <w:rPr>
                <w:rFonts w:hint="default" w:ascii="Arial" w:hAnsi="Arial" w:eastAsia="Times New Roman" w:cs="Times New Roman"/>
                <w:sz w:val="18"/>
                <w:szCs w:val="20"/>
                <w:lang w:val="en-GB" w:eastAsia="en-GB" w:bidi="ar-SA"/>
              </w:rPr>
            </w:pPr>
            <w:r>
              <w:rPr>
                <w:rFonts w:hint="default"/>
              </w:rPr>
              <w:t>16Q</w:t>
            </w:r>
            <w:r>
              <w:rPr>
                <w:rFonts w:hint="eastAsia"/>
              </w:rPr>
              <w:t>AM</w:t>
            </w:r>
          </w:p>
        </w:tc>
        <w:tc>
          <w:tcPr>
            <w:tcW w:w="176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top"/>
          </w:tcPr>
          <w:p>
            <w:pPr>
              <w:pStyle w:val="50"/>
              <w:widowControl/>
              <w:suppressLineNumbers w:val="0"/>
              <w:spacing w:before="0" w:beforeAutospacing="0" w:afterAutospacing="0"/>
              <w:ind w:left="0" w:right="0"/>
              <w:rPr>
                <w:rFonts w:hint="default" w:eastAsia="宋体"/>
                <w:lang w:val="en-US" w:eastAsia="zh-CN"/>
              </w:rPr>
            </w:pPr>
            <w:r>
              <w:rPr>
                <w:rFonts w:hint="eastAsia" w:eastAsia="宋体"/>
                <w:lang w:val="en-US" w:eastAsia="zh-CN"/>
              </w:rPr>
              <w:t>15</w:t>
            </w:r>
          </w:p>
        </w:tc>
        <w:tc>
          <w:tcPr>
            <w:tcW w:w="176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top"/>
          </w:tcPr>
          <w:p>
            <w:pPr>
              <w:pStyle w:val="50"/>
              <w:widowControl/>
              <w:suppressLineNumbers w:val="0"/>
              <w:spacing w:before="0" w:beforeAutospacing="0" w:afterAutospacing="0"/>
              <w:ind w:left="0" w:right="0"/>
              <w:rPr>
                <w:rFonts w:hint="default" w:eastAsia="宋体"/>
                <w:color w:val="948A54" w:themeColor="background2" w:themeShade="80"/>
                <w:lang w:val="en-US" w:eastAsia="zh-CN"/>
              </w:rPr>
            </w:pPr>
            <w:r>
              <w:rPr>
                <w:rFonts w:hint="eastAsia" w:eastAsia="宋体"/>
                <w:color w:val="948A54" w:themeColor="background2" w:themeShade="80"/>
                <w:lang w:val="en-US" w:eastAsia="zh-CN"/>
              </w:rPr>
              <w:t>9.5</w:t>
            </w:r>
          </w:p>
        </w:tc>
      </w:tr>
      <w:tr>
        <w:tblPrEx>
          <w:tblCellMar>
            <w:top w:w="0" w:type="dxa"/>
            <w:left w:w="0" w:type="dxa"/>
            <w:bottom w:w="0" w:type="dxa"/>
            <w:right w:w="0" w:type="dxa"/>
          </w:tblCellMar>
        </w:tblPrEx>
        <w:trPr>
          <w:jc w:val="center"/>
        </w:trPr>
        <w:tc>
          <w:tcPr>
            <w:tcW w:w="1155"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pStyle w:val="50"/>
              <w:widowControl/>
              <w:suppressLineNumbers w:val="0"/>
              <w:spacing w:before="0" w:beforeAutospacing="0" w:afterAutospacing="0"/>
              <w:ind w:left="0" w:right="0"/>
              <w:rPr>
                <w:rFonts w:hint="default"/>
              </w:rPr>
            </w:pPr>
            <w:r>
              <w:rPr>
                <w:rFonts w:hint="default"/>
              </w:rPr>
              <w:t>10</w:t>
            </w:r>
          </w:p>
        </w:tc>
        <w:tc>
          <w:tcPr>
            <w:tcW w:w="122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top"/>
          </w:tcPr>
          <w:p>
            <w:pPr>
              <w:pStyle w:val="50"/>
              <w:widowControl/>
              <w:suppressLineNumbers w:val="0"/>
              <w:spacing w:before="0" w:beforeAutospacing="0" w:afterAutospacing="0"/>
              <w:ind w:left="0" w:right="0"/>
              <w:rPr>
                <w:rFonts w:hint="default" w:ascii="Arial" w:hAnsi="Arial" w:eastAsia="Times New Roman" w:cs="Times New Roman"/>
                <w:sz w:val="18"/>
                <w:szCs w:val="20"/>
                <w:lang w:val="en-GB" w:eastAsia="en-GB" w:bidi="ar-SA"/>
              </w:rPr>
            </w:pPr>
            <w:r>
              <w:rPr>
                <w:rFonts w:hint="default"/>
              </w:rPr>
              <w:t>16Q</w:t>
            </w:r>
            <w:r>
              <w:rPr>
                <w:rFonts w:hint="eastAsia"/>
              </w:rPr>
              <w:t>AM</w:t>
            </w:r>
          </w:p>
        </w:tc>
        <w:tc>
          <w:tcPr>
            <w:tcW w:w="1761"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50"/>
              <w:widowControl/>
              <w:suppressLineNumbers w:val="0"/>
              <w:spacing w:before="0" w:beforeAutospacing="0" w:afterAutospacing="0"/>
              <w:ind w:left="0" w:right="0"/>
              <w:rPr>
                <w:rFonts w:hint="default" w:eastAsia="宋体"/>
                <w:lang w:val="en-US" w:eastAsia="zh-CN"/>
              </w:rPr>
            </w:pPr>
            <w:r>
              <w:rPr>
                <w:rFonts w:hint="eastAsia" w:eastAsia="宋体"/>
                <w:lang w:val="en-US" w:eastAsia="zh-CN"/>
              </w:rPr>
              <w:t>16</w:t>
            </w:r>
          </w:p>
        </w:tc>
        <w:tc>
          <w:tcPr>
            <w:tcW w:w="1761"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50"/>
              <w:widowControl/>
              <w:suppressLineNumbers w:val="0"/>
              <w:spacing w:before="0" w:beforeAutospacing="0" w:afterAutospacing="0"/>
              <w:ind w:left="0" w:right="0"/>
              <w:rPr>
                <w:rFonts w:hint="default" w:eastAsia="宋体"/>
                <w:color w:val="948A54" w:themeColor="background2" w:themeShade="80"/>
                <w:lang w:val="en-US" w:eastAsia="zh-CN"/>
              </w:rPr>
            </w:pPr>
            <w:r>
              <w:rPr>
                <w:rFonts w:hint="eastAsia" w:eastAsia="宋体"/>
                <w:color w:val="948A54" w:themeColor="background2" w:themeShade="80"/>
                <w:lang w:val="en-US" w:eastAsia="zh-CN"/>
              </w:rPr>
              <w:t>9.7</w:t>
            </w:r>
          </w:p>
        </w:tc>
      </w:tr>
      <w:tr>
        <w:tblPrEx>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pStyle w:val="50"/>
              <w:widowControl/>
              <w:suppressLineNumbers w:val="0"/>
              <w:spacing w:before="0" w:beforeAutospacing="0" w:afterAutospacing="0"/>
              <w:ind w:left="0" w:right="0"/>
              <w:rPr>
                <w:rFonts w:hint="default"/>
              </w:rPr>
            </w:pPr>
            <w:r>
              <w:rPr>
                <w:rFonts w:hint="default"/>
              </w:rPr>
              <w:t>11</w:t>
            </w:r>
          </w:p>
        </w:tc>
        <w:tc>
          <w:tcPr>
            <w:tcW w:w="1228" w:type="dxa"/>
            <w:tcBorders>
              <w:top w:val="nil"/>
              <w:left w:val="nil"/>
              <w:bottom w:val="single" w:color="auto" w:sz="8" w:space="0"/>
              <w:right w:val="single" w:color="auto" w:sz="8" w:space="0"/>
            </w:tcBorders>
            <w:tcMar>
              <w:top w:w="0" w:type="dxa"/>
              <w:left w:w="108" w:type="dxa"/>
              <w:bottom w:w="0" w:type="dxa"/>
              <w:right w:w="108" w:type="dxa"/>
            </w:tcMar>
            <w:vAlign w:val="top"/>
          </w:tcPr>
          <w:p>
            <w:pPr>
              <w:pStyle w:val="50"/>
              <w:widowControl/>
              <w:suppressLineNumbers w:val="0"/>
              <w:spacing w:before="0" w:beforeAutospacing="0" w:afterAutospacing="0"/>
              <w:ind w:left="0" w:right="0"/>
              <w:rPr>
                <w:rFonts w:hint="default" w:ascii="Arial" w:hAnsi="Arial" w:eastAsia="Times New Roman" w:cs="Times New Roman"/>
                <w:sz w:val="18"/>
                <w:szCs w:val="20"/>
                <w:lang w:val="en-GB" w:eastAsia="en-GB" w:bidi="ar-SA"/>
              </w:rPr>
            </w:pPr>
            <w:r>
              <w:rPr>
                <w:rFonts w:hint="default"/>
              </w:rPr>
              <w:t>16Q</w:t>
            </w:r>
            <w:r>
              <w:rPr>
                <w:rFonts w:hint="eastAsia"/>
              </w:rPr>
              <w:t>AM</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pStyle w:val="50"/>
              <w:widowControl/>
              <w:suppressLineNumbers w:val="0"/>
              <w:spacing w:before="0" w:beforeAutospacing="0" w:afterAutospacing="0"/>
              <w:ind w:left="0" w:right="0"/>
              <w:rPr>
                <w:rFonts w:hint="default" w:eastAsia="宋体"/>
                <w:lang w:val="en-US" w:eastAsia="zh-CN"/>
              </w:rPr>
            </w:pPr>
            <w:r>
              <w:rPr>
                <w:rFonts w:hint="eastAsia" w:eastAsia="宋体"/>
                <w:lang w:val="en-US" w:eastAsia="zh-CN"/>
              </w:rPr>
              <w:t>17</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pStyle w:val="50"/>
              <w:widowControl/>
              <w:suppressLineNumbers w:val="0"/>
              <w:spacing w:before="0" w:beforeAutospacing="0" w:afterAutospacing="0"/>
              <w:ind w:left="0" w:right="0"/>
              <w:rPr>
                <w:rFonts w:hint="default" w:eastAsia="宋体"/>
                <w:color w:val="948A54" w:themeColor="background2" w:themeShade="80"/>
                <w:lang w:val="en-US" w:eastAsia="zh-CN"/>
              </w:rPr>
            </w:pPr>
            <w:r>
              <w:rPr>
                <w:rFonts w:hint="eastAsia" w:eastAsia="宋体"/>
                <w:color w:val="948A54" w:themeColor="background2" w:themeShade="80"/>
                <w:lang w:val="en-US" w:eastAsia="zh-CN"/>
              </w:rPr>
              <w:t>10.8</w:t>
            </w:r>
          </w:p>
        </w:tc>
      </w:tr>
      <w:tr>
        <w:tblPrEx>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pStyle w:val="50"/>
              <w:widowControl/>
              <w:suppressLineNumbers w:val="0"/>
              <w:spacing w:before="0" w:beforeAutospacing="0" w:afterAutospacing="0"/>
              <w:ind w:left="0" w:right="0"/>
              <w:rPr>
                <w:rFonts w:hint="default"/>
              </w:rPr>
            </w:pPr>
            <w:r>
              <w:rPr>
                <w:rFonts w:hint="default"/>
              </w:rPr>
              <w:t>12</w:t>
            </w:r>
          </w:p>
        </w:tc>
        <w:tc>
          <w:tcPr>
            <w:tcW w:w="1228" w:type="dxa"/>
            <w:tcBorders>
              <w:top w:val="nil"/>
              <w:left w:val="nil"/>
              <w:bottom w:val="single" w:color="auto" w:sz="8" w:space="0"/>
              <w:right w:val="single" w:color="auto" w:sz="8" w:space="0"/>
            </w:tcBorders>
            <w:tcMar>
              <w:top w:w="0" w:type="dxa"/>
              <w:left w:w="108" w:type="dxa"/>
              <w:bottom w:w="0" w:type="dxa"/>
              <w:right w:w="108" w:type="dxa"/>
            </w:tcMar>
            <w:vAlign w:val="top"/>
          </w:tcPr>
          <w:p>
            <w:pPr>
              <w:pStyle w:val="50"/>
              <w:widowControl/>
              <w:suppressLineNumbers w:val="0"/>
              <w:spacing w:before="0" w:beforeAutospacing="0" w:afterAutospacing="0"/>
              <w:ind w:left="0" w:right="0"/>
              <w:rPr>
                <w:rFonts w:hint="default" w:ascii="Arial" w:hAnsi="Arial" w:eastAsia="Times New Roman" w:cs="Times New Roman"/>
                <w:sz w:val="18"/>
                <w:szCs w:val="20"/>
                <w:lang w:val="en-GB" w:eastAsia="en-GB" w:bidi="ar-SA"/>
              </w:rPr>
            </w:pPr>
            <w:r>
              <w:rPr>
                <w:rFonts w:hint="default"/>
              </w:rPr>
              <w:t>16Q</w:t>
            </w:r>
            <w:r>
              <w:rPr>
                <w:rFonts w:hint="eastAsia"/>
              </w:rPr>
              <w:t>AM</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pStyle w:val="50"/>
              <w:widowControl/>
              <w:suppressLineNumbers w:val="0"/>
              <w:spacing w:before="0" w:beforeAutospacing="0" w:afterAutospacing="0"/>
              <w:ind w:left="0" w:right="0"/>
              <w:rPr>
                <w:rFonts w:hint="default" w:eastAsia="宋体"/>
                <w:lang w:val="en-US" w:eastAsia="zh-CN"/>
              </w:rPr>
            </w:pPr>
            <w:r>
              <w:rPr>
                <w:rFonts w:hint="eastAsia" w:eastAsia="宋体"/>
                <w:lang w:val="en-US" w:eastAsia="zh-CN"/>
              </w:rPr>
              <w:t>18</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pStyle w:val="50"/>
              <w:widowControl/>
              <w:suppressLineNumbers w:val="0"/>
              <w:spacing w:before="0" w:beforeAutospacing="0" w:afterAutospacing="0"/>
              <w:ind w:left="0" w:right="0"/>
              <w:rPr>
                <w:rFonts w:hint="default" w:eastAsia="宋体"/>
                <w:color w:val="948A54" w:themeColor="background2" w:themeShade="80"/>
                <w:lang w:val="en-US" w:eastAsia="zh-CN"/>
              </w:rPr>
            </w:pPr>
            <w:r>
              <w:rPr>
                <w:rFonts w:hint="eastAsia" w:eastAsia="宋体"/>
                <w:color w:val="948A54" w:themeColor="background2" w:themeShade="80"/>
                <w:lang w:val="en-US" w:eastAsia="zh-CN"/>
              </w:rPr>
              <w:t>11.7</w:t>
            </w:r>
          </w:p>
        </w:tc>
      </w:tr>
      <w:tr>
        <w:tblPrEx>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pStyle w:val="50"/>
              <w:widowControl/>
              <w:suppressLineNumbers w:val="0"/>
              <w:spacing w:before="0" w:beforeAutospacing="0" w:afterAutospacing="0"/>
              <w:ind w:left="0" w:right="0"/>
              <w:rPr>
                <w:rFonts w:hint="default"/>
              </w:rPr>
            </w:pPr>
            <w:r>
              <w:rPr>
                <w:rFonts w:hint="default"/>
              </w:rPr>
              <w:t>13</w:t>
            </w:r>
          </w:p>
        </w:tc>
        <w:tc>
          <w:tcPr>
            <w:tcW w:w="1228" w:type="dxa"/>
            <w:tcBorders>
              <w:top w:val="nil"/>
              <w:left w:val="nil"/>
              <w:bottom w:val="single" w:color="auto" w:sz="8" w:space="0"/>
              <w:right w:val="single" w:color="auto" w:sz="8" w:space="0"/>
            </w:tcBorders>
            <w:tcMar>
              <w:top w:w="0" w:type="dxa"/>
              <w:left w:w="108" w:type="dxa"/>
              <w:bottom w:w="0" w:type="dxa"/>
              <w:right w:w="108" w:type="dxa"/>
            </w:tcMar>
            <w:vAlign w:val="top"/>
          </w:tcPr>
          <w:p>
            <w:pPr>
              <w:pStyle w:val="50"/>
              <w:widowControl/>
              <w:suppressLineNumbers w:val="0"/>
              <w:spacing w:before="0" w:beforeAutospacing="0" w:afterAutospacing="0"/>
              <w:ind w:left="0" w:right="0"/>
              <w:rPr>
                <w:rFonts w:hint="default" w:ascii="Arial" w:hAnsi="Arial" w:eastAsia="Times New Roman" w:cs="Times New Roman"/>
                <w:sz w:val="18"/>
                <w:szCs w:val="20"/>
                <w:lang w:val="en-GB" w:eastAsia="en-GB" w:bidi="ar-SA"/>
              </w:rPr>
            </w:pPr>
            <w:r>
              <w:rPr>
                <w:rFonts w:hint="default"/>
              </w:rPr>
              <w:t>16Q</w:t>
            </w:r>
            <w:r>
              <w:rPr>
                <w:rFonts w:hint="eastAsia"/>
              </w:rPr>
              <w:t>AM</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pStyle w:val="50"/>
              <w:widowControl/>
              <w:suppressLineNumbers w:val="0"/>
              <w:spacing w:before="0" w:beforeAutospacing="0" w:afterAutospacing="0"/>
              <w:ind w:left="0" w:right="0"/>
              <w:rPr>
                <w:rFonts w:hint="default" w:eastAsia="宋体"/>
                <w:lang w:val="en-US" w:eastAsia="zh-CN"/>
              </w:rPr>
            </w:pPr>
            <w:r>
              <w:rPr>
                <w:rFonts w:hint="eastAsia" w:eastAsia="宋体"/>
                <w:lang w:val="en-US" w:eastAsia="zh-CN"/>
              </w:rPr>
              <w:t>19</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pStyle w:val="50"/>
              <w:widowControl/>
              <w:suppressLineNumbers w:val="0"/>
              <w:spacing w:before="0" w:beforeAutospacing="0" w:afterAutospacing="0"/>
              <w:ind w:left="0" w:right="0"/>
              <w:rPr>
                <w:rFonts w:hint="default" w:eastAsia="宋体"/>
                <w:color w:val="948A54" w:themeColor="background2" w:themeShade="80"/>
                <w:lang w:val="en-US" w:eastAsia="zh-CN"/>
              </w:rPr>
            </w:pPr>
            <w:r>
              <w:rPr>
                <w:rFonts w:hint="eastAsia" w:eastAsia="宋体"/>
                <w:color w:val="948A54" w:themeColor="background2" w:themeShade="80"/>
                <w:lang w:val="en-US" w:eastAsia="zh-CN"/>
              </w:rPr>
              <w:t>12.4</w:t>
            </w:r>
          </w:p>
        </w:tc>
      </w:tr>
      <w:tr>
        <w:tblPrEx>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pStyle w:val="50"/>
              <w:widowControl/>
              <w:suppressLineNumbers w:val="0"/>
              <w:spacing w:before="0" w:beforeAutospacing="0" w:afterAutospacing="0"/>
              <w:ind w:left="0" w:right="0"/>
              <w:rPr>
                <w:rFonts w:hint="default"/>
              </w:rPr>
            </w:pPr>
            <w:r>
              <w:rPr>
                <w:rFonts w:hint="default"/>
              </w:rPr>
              <w:t>14</w:t>
            </w:r>
          </w:p>
        </w:tc>
        <w:tc>
          <w:tcPr>
            <w:tcW w:w="1228" w:type="dxa"/>
            <w:tcBorders>
              <w:top w:val="nil"/>
              <w:left w:val="nil"/>
              <w:bottom w:val="single" w:color="auto" w:sz="8" w:space="0"/>
              <w:right w:val="single" w:color="auto" w:sz="8" w:space="0"/>
            </w:tcBorders>
            <w:tcMar>
              <w:top w:w="0" w:type="dxa"/>
              <w:left w:w="108" w:type="dxa"/>
              <w:bottom w:w="0" w:type="dxa"/>
              <w:right w:w="108" w:type="dxa"/>
            </w:tcMar>
            <w:vAlign w:val="top"/>
          </w:tcPr>
          <w:p>
            <w:pPr>
              <w:pStyle w:val="50"/>
              <w:widowControl/>
              <w:suppressLineNumbers w:val="0"/>
              <w:spacing w:before="0" w:beforeAutospacing="0" w:afterAutospacing="0"/>
              <w:ind w:left="0" w:right="0"/>
              <w:rPr>
                <w:rFonts w:hint="default" w:ascii="Arial" w:hAnsi="Arial" w:eastAsia="Times New Roman" w:cs="Times New Roman"/>
                <w:sz w:val="18"/>
                <w:szCs w:val="20"/>
                <w:lang w:val="en-GB" w:eastAsia="en-GB" w:bidi="ar-SA"/>
              </w:rPr>
            </w:pPr>
            <w:r>
              <w:rPr>
                <w:rFonts w:hint="default"/>
              </w:rPr>
              <w:t>16Q</w:t>
            </w:r>
            <w:r>
              <w:rPr>
                <w:rFonts w:hint="eastAsia"/>
              </w:rPr>
              <w:t>AM</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pStyle w:val="50"/>
              <w:widowControl/>
              <w:suppressLineNumbers w:val="0"/>
              <w:spacing w:before="0" w:beforeAutospacing="0" w:afterAutospacing="0"/>
              <w:ind w:left="0" w:right="0"/>
              <w:rPr>
                <w:rFonts w:hint="default" w:eastAsia="宋体"/>
                <w:lang w:val="en-US" w:eastAsia="zh-CN"/>
              </w:rPr>
            </w:pPr>
            <w:r>
              <w:rPr>
                <w:rFonts w:hint="eastAsia" w:eastAsia="宋体"/>
                <w:lang w:val="en-US" w:eastAsia="zh-CN"/>
              </w:rPr>
              <w:t>20</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pStyle w:val="50"/>
              <w:widowControl/>
              <w:suppressLineNumbers w:val="0"/>
              <w:spacing w:before="0" w:beforeAutospacing="0" w:afterAutospacing="0"/>
              <w:ind w:left="0" w:right="0"/>
              <w:rPr>
                <w:rFonts w:hint="default" w:eastAsia="宋体"/>
                <w:color w:val="948A54" w:themeColor="background2" w:themeShade="80"/>
                <w:lang w:val="en-US" w:eastAsia="zh-CN"/>
              </w:rPr>
            </w:pPr>
            <w:r>
              <w:rPr>
                <w:rFonts w:hint="eastAsia" w:eastAsia="宋体"/>
                <w:color w:val="948A54" w:themeColor="background2" w:themeShade="80"/>
                <w:lang w:val="en-US" w:eastAsia="zh-CN"/>
              </w:rPr>
              <w:t>13.0</w:t>
            </w:r>
          </w:p>
        </w:tc>
      </w:tr>
      <w:tr>
        <w:tblPrEx>
          <w:tblCellMar>
            <w:top w:w="0" w:type="dxa"/>
            <w:left w:w="0" w:type="dxa"/>
            <w:bottom w:w="0" w:type="dxa"/>
            <w:right w:w="0" w:type="dxa"/>
          </w:tblCellMar>
        </w:tblPrEx>
        <w:trPr>
          <w:jc w:val="center"/>
        </w:trPr>
        <w:tc>
          <w:tcPr>
            <w:tcW w:w="1155"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pStyle w:val="50"/>
              <w:widowControl/>
              <w:suppressLineNumbers w:val="0"/>
              <w:spacing w:before="0" w:beforeAutospacing="0" w:afterAutospacing="0"/>
              <w:ind w:left="0" w:right="0"/>
              <w:rPr>
                <w:rFonts w:hint="default"/>
              </w:rPr>
            </w:pPr>
            <w:r>
              <w:rPr>
                <w:rFonts w:hint="default"/>
              </w:rPr>
              <w:t>15</w:t>
            </w:r>
          </w:p>
        </w:tc>
        <w:tc>
          <w:tcPr>
            <w:tcW w:w="1228" w:type="dxa"/>
            <w:tcBorders>
              <w:top w:val="nil"/>
              <w:left w:val="nil"/>
              <w:bottom w:val="single" w:color="auto" w:sz="8" w:space="0"/>
              <w:right w:val="single" w:color="auto" w:sz="8" w:space="0"/>
            </w:tcBorders>
            <w:tcMar>
              <w:top w:w="0" w:type="dxa"/>
              <w:left w:w="108" w:type="dxa"/>
              <w:bottom w:w="0" w:type="dxa"/>
              <w:right w:w="108" w:type="dxa"/>
            </w:tcMar>
            <w:vAlign w:val="top"/>
          </w:tcPr>
          <w:p>
            <w:pPr>
              <w:pStyle w:val="50"/>
              <w:widowControl/>
              <w:suppressLineNumbers w:val="0"/>
              <w:spacing w:before="0" w:beforeAutospacing="0" w:afterAutospacing="0"/>
              <w:ind w:left="0" w:right="0"/>
              <w:rPr>
                <w:rFonts w:hint="default" w:ascii="Arial" w:hAnsi="Arial" w:eastAsia="Times New Roman" w:cs="Times New Roman"/>
                <w:sz w:val="18"/>
                <w:szCs w:val="20"/>
                <w:lang w:val="en-GB" w:eastAsia="en-GB" w:bidi="ar-SA"/>
              </w:rPr>
            </w:pPr>
            <w:r>
              <w:rPr>
                <w:rFonts w:hint="default"/>
              </w:rPr>
              <w:t>16Q</w:t>
            </w:r>
            <w:r>
              <w:rPr>
                <w:rFonts w:hint="eastAsia"/>
              </w:rPr>
              <w:t>AM</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pStyle w:val="50"/>
              <w:widowControl/>
              <w:suppressLineNumbers w:val="0"/>
              <w:spacing w:before="0" w:beforeAutospacing="0" w:afterAutospacing="0"/>
              <w:ind w:left="0" w:right="0"/>
              <w:rPr>
                <w:rFonts w:hint="default" w:eastAsia="宋体"/>
                <w:lang w:val="en-US" w:eastAsia="zh-CN"/>
              </w:rPr>
            </w:pPr>
            <w:r>
              <w:rPr>
                <w:rFonts w:hint="eastAsia" w:eastAsia="宋体"/>
                <w:lang w:val="en-US" w:eastAsia="zh-CN"/>
              </w:rPr>
              <w:t>21</w:t>
            </w:r>
          </w:p>
        </w:tc>
        <w:tc>
          <w:tcPr>
            <w:tcW w:w="1761" w:type="dxa"/>
            <w:tcBorders>
              <w:top w:val="nil"/>
              <w:left w:val="nil"/>
              <w:bottom w:val="single" w:color="auto" w:sz="8" w:space="0"/>
              <w:right w:val="single" w:color="auto" w:sz="8" w:space="0"/>
            </w:tcBorders>
            <w:tcMar>
              <w:top w:w="0" w:type="dxa"/>
              <w:left w:w="108" w:type="dxa"/>
              <w:bottom w:w="0" w:type="dxa"/>
              <w:right w:w="108" w:type="dxa"/>
            </w:tcMar>
          </w:tcPr>
          <w:p>
            <w:pPr>
              <w:pStyle w:val="50"/>
              <w:widowControl/>
              <w:suppressLineNumbers w:val="0"/>
              <w:spacing w:before="0" w:beforeAutospacing="0" w:afterAutospacing="0"/>
              <w:ind w:left="0" w:right="0"/>
              <w:rPr>
                <w:rFonts w:hint="default" w:eastAsia="宋体"/>
                <w:color w:val="948A54" w:themeColor="background2" w:themeShade="80"/>
                <w:lang w:val="en-US" w:eastAsia="zh-CN"/>
              </w:rPr>
            </w:pPr>
            <w:r>
              <w:rPr>
                <w:rFonts w:hint="eastAsia" w:eastAsia="宋体"/>
                <w:color w:val="948A54" w:themeColor="background2" w:themeShade="80"/>
                <w:lang w:val="en-US" w:eastAsia="zh-CN"/>
              </w:rPr>
              <w:t>14.1</w:t>
            </w:r>
          </w:p>
        </w:tc>
      </w:tr>
    </w:tbl>
    <w:p>
      <w:pPr>
        <w:numPr>
          <w:ilvl w:val="0"/>
          <w:numId w:val="0"/>
        </w:numPr>
        <w:rPr>
          <w:rFonts w:hint="eastAsia" w:eastAsia="宋体"/>
          <w:sz w:val="20"/>
          <w:szCs w:val="20"/>
          <w:lang w:val="en-US" w:eastAsia="zh-CN"/>
        </w:rPr>
      </w:pPr>
    </w:p>
    <w:p>
      <w:pPr>
        <w:numPr>
          <w:ilvl w:val="0"/>
          <w:numId w:val="0"/>
        </w:numPr>
        <w:rPr>
          <w:rFonts w:hint="eastAsia" w:eastAsia="宋体"/>
          <w:b/>
          <w:bCs/>
          <w:i/>
          <w:iCs/>
          <w:sz w:val="20"/>
          <w:szCs w:val="20"/>
          <w:lang w:val="en-US" w:eastAsia="zh-CN"/>
        </w:rPr>
      </w:pPr>
      <w:bookmarkStart w:id="16" w:name="OLE_LINK7"/>
      <w:r>
        <w:rPr>
          <w:rFonts w:hint="eastAsia" w:eastAsia="宋体"/>
          <w:b/>
          <w:bCs/>
          <w:i/>
          <w:iCs/>
          <w:sz w:val="20"/>
          <w:szCs w:val="20"/>
          <w:lang w:val="en-US" w:eastAsia="zh-CN"/>
        </w:rPr>
        <w:t>Proposal 4: Table 2 or 3 can be adopted for channel quality report for NPDSCH.</w:t>
      </w:r>
    </w:p>
    <w:bookmarkEnd w:id="16"/>
    <w:p>
      <w:pPr>
        <w:keepNext w:val="0"/>
        <w:keepLines w:val="0"/>
        <w:pageBreakBefore w:val="0"/>
        <w:widowControl/>
        <w:kinsoku/>
        <w:wordWrap/>
        <w:overflowPunct/>
        <w:topLinePunct w:val="0"/>
        <w:autoSpaceDE w:val="0"/>
        <w:autoSpaceDN w:val="0"/>
        <w:bidi w:val="0"/>
        <w:adjustRightInd w:val="0"/>
        <w:snapToGrid w:val="0"/>
        <w:ind w:left="0" w:firstLine="0" w:firstLineChars="0"/>
        <w:textAlignment w:val="auto"/>
        <w:rPr>
          <w:rFonts w:ascii="Times New Roman" w:hAnsi="Times New Roman" w:cs="Times New Roman"/>
          <w:iCs/>
          <w:sz w:val="20"/>
          <w:szCs w:val="20"/>
          <w:lang w:eastAsia="zh-CN"/>
        </w:rPr>
      </w:pPr>
      <w:r>
        <w:rPr>
          <w:rFonts w:hint="eastAsia" w:ascii="Times New Roman" w:hAnsi="Times New Roman" w:cs="Times New Roman"/>
          <w:iCs/>
          <w:sz w:val="20"/>
          <w:szCs w:val="20"/>
          <w:lang w:val="en-US" w:eastAsia="zh-CN"/>
        </w:rPr>
        <w:t xml:space="preserve">For in-band deployment, CQI entries within TBS 0~17 in Table 2 or 3 can be used for </w:t>
      </w:r>
      <w:r>
        <w:rPr>
          <w:rFonts w:hint="eastAsia" w:cs="Times New Roman"/>
          <w:iCs/>
          <w:sz w:val="20"/>
          <w:szCs w:val="20"/>
          <w:lang w:val="en-US" w:eastAsia="zh-CN"/>
        </w:rPr>
        <w:t xml:space="preserve">channel quality </w:t>
      </w:r>
      <w:r>
        <w:rPr>
          <w:rFonts w:hint="eastAsia" w:ascii="Times New Roman" w:hAnsi="Times New Roman" w:cs="Times New Roman"/>
          <w:iCs/>
          <w:sz w:val="20"/>
          <w:szCs w:val="20"/>
          <w:lang w:val="en-US" w:eastAsia="zh-CN"/>
        </w:rPr>
        <w:t>report. Wherein, TBS 12 should</w:t>
      </w:r>
      <w:r>
        <w:rPr>
          <w:rFonts w:hint="eastAsia" w:cs="Times New Roman"/>
          <w:iCs/>
          <w:sz w:val="20"/>
          <w:szCs w:val="20"/>
          <w:lang w:val="en-US" w:eastAsia="zh-CN"/>
        </w:rPr>
        <w:t xml:space="preserve"> correspond to </w:t>
      </w:r>
      <w:r>
        <w:rPr>
          <w:rFonts w:hint="eastAsia" w:ascii="Times New Roman" w:hAnsi="Times New Roman" w:cs="Times New Roman"/>
          <w:iCs/>
          <w:sz w:val="20"/>
          <w:szCs w:val="20"/>
          <w:lang w:val="en-US" w:eastAsia="zh-CN"/>
        </w:rPr>
        <w:t>16QAM</w:t>
      </w:r>
      <w:r>
        <w:rPr>
          <w:rFonts w:hint="eastAsia" w:cs="Times New Roman"/>
          <w:iCs/>
          <w:sz w:val="20"/>
          <w:szCs w:val="20"/>
          <w:lang w:val="en-US" w:eastAsia="zh-CN"/>
        </w:rPr>
        <w:t xml:space="preserve"> instead of QPSK.</w:t>
      </w:r>
    </w:p>
    <w:bookmarkEnd w:id="5"/>
    <w:bookmarkEnd w:id="6"/>
    <w:bookmarkEnd w:id="7"/>
    <w:bookmarkEnd w:id="8"/>
    <w:bookmarkEnd w:id="9"/>
    <w:bookmarkEnd w:id="10"/>
    <w:bookmarkEnd w:id="11"/>
    <w:bookmarkEnd w:id="12"/>
    <w:bookmarkEnd w:id="13"/>
    <w:p>
      <w:pPr>
        <w:pStyle w:val="2"/>
        <w:keepLines/>
        <w:pageBreakBefore w:val="0"/>
        <w:widowControl/>
        <w:numPr>
          <w:ilvl w:val="0"/>
          <w:numId w:val="4"/>
        </w:numPr>
        <w:pBdr>
          <w:top w:val="single" w:color="auto" w:sz="12" w:space="3"/>
        </w:pBdr>
        <w:kinsoku/>
        <w:wordWrap/>
        <w:overflowPunct/>
        <w:topLinePunct w:val="0"/>
        <w:autoSpaceDE/>
        <w:autoSpaceDN/>
        <w:bidi w:val="0"/>
        <w:adjustRightInd/>
        <w:snapToGrid/>
        <w:spacing w:after="180" w:line="276" w:lineRule="auto"/>
        <w:jc w:val="left"/>
        <w:textAlignment w:val="auto"/>
        <w:rPr>
          <w:rFonts w:cs="Arial"/>
        </w:rPr>
      </w:pPr>
      <w:r>
        <w:rPr>
          <w:rFonts w:cs="Arial"/>
        </w:rPr>
        <w:t>Conclusion</w:t>
      </w:r>
    </w:p>
    <w:p>
      <w:pPr>
        <w:keepNext w:val="0"/>
        <w:keepLines w:val="0"/>
        <w:pageBreakBefore w:val="0"/>
        <w:widowControl/>
        <w:tabs>
          <w:tab w:val="left" w:pos="405"/>
        </w:tabs>
        <w:kinsoku/>
        <w:wordWrap/>
        <w:overflowPunct/>
        <w:topLinePunct w:val="0"/>
        <w:autoSpaceDE w:val="0"/>
        <w:autoSpaceDN w:val="0"/>
        <w:bidi w:val="0"/>
        <w:adjustRightInd w:val="0"/>
        <w:snapToGrid w:val="0"/>
        <w:spacing w:line="240" w:lineRule="auto"/>
        <w:textAlignment w:val="auto"/>
        <w:rPr>
          <w:sz w:val="20"/>
          <w:szCs w:val="20"/>
          <w:lang w:eastAsia="zh-CN"/>
        </w:rPr>
      </w:pPr>
      <w:r>
        <w:rPr>
          <w:rFonts w:hint="eastAsia"/>
          <w:sz w:val="20"/>
          <w:szCs w:val="20"/>
          <w:lang w:eastAsia="zh-CN"/>
        </w:rPr>
        <w:t xml:space="preserve">In this contribution, </w:t>
      </w:r>
      <w:r>
        <w:rPr>
          <w:sz w:val="20"/>
          <w:szCs w:val="20"/>
          <w:lang w:eastAsia="zh-CN"/>
        </w:rPr>
        <w:t xml:space="preserve">we have discussed the </w:t>
      </w:r>
      <w:r>
        <w:rPr>
          <w:rFonts w:hint="eastAsia"/>
          <w:sz w:val="20"/>
          <w:szCs w:val="20"/>
          <w:lang w:val="en-US" w:eastAsia="zh-CN"/>
        </w:rPr>
        <w:t xml:space="preserve">remaining </w:t>
      </w:r>
      <w:r>
        <w:rPr>
          <w:sz w:val="20"/>
          <w:szCs w:val="20"/>
          <w:lang w:eastAsia="zh-CN"/>
        </w:rPr>
        <w:t xml:space="preserve">issues </w:t>
      </w:r>
      <w:r>
        <w:rPr>
          <w:rFonts w:hint="eastAsia"/>
          <w:sz w:val="20"/>
          <w:szCs w:val="20"/>
          <w:lang w:val="en-US" w:eastAsia="zh-CN"/>
        </w:rPr>
        <w:t xml:space="preserve">on </w:t>
      </w:r>
      <w:r>
        <w:rPr>
          <w:sz w:val="20"/>
          <w:szCs w:val="20"/>
          <w:lang w:eastAsia="zh-CN"/>
        </w:rPr>
        <w:t>16QAM for NB-IoT. And the following observations and proposals are given:</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line="240" w:lineRule="auto"/>
        <w:textAlignment w:val="auto"/>
        <w:rPr>
          <w:rFonts w:hint="default" w:eastAsia="宋体" w:cs="Times New Roman"/>
          <w:b/>
          <w:bCs/>
          <w:i/>
          <w:iCs/>
          <w:caps w:val="0"/>
          <w:color w:val="000000"/>
          <w:spacing w:val="0"/>
          <w:sz w:val="20"/>
          <w:szCs w:val="20"/>
          <w:shd w:val="clear" w:fill="FFFFFF"/>
          <w:lang w:val="en-US" w:eastAsia="zh-CN"/>
        </w:rPr>
      </w:pPr>
      <w:r>
        <w:rPr>
          <w:rFonts w:hint="eastAsia" w:eastAsia="宋体" w:cs="Times New Roman"/>
          <w:b/>
          <w:bCs/>
          <w:i/>
          <w:iCs/>
          <w:caps w:val="0"/>
          <w:color w:val="000000"/>
          <w:spacing w:val="0"/>
          <w:sz w:val="20"/>
          <w:szCs w:val="20"/>
          <w:shd w:val="clear" w:fill="FFFFFF"/>
          <w:lang w:val="en-US" w:eastAsia="zh-CN"/>
        </w:rPr>
        <w:t>Observation 1: For channel quality report, the switching of new table and legacy table needs to be considered for both Option 1 and Option 3 since new CQI table is introduced for NPDSCH.</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line="240" w:lineRule="auto"/>
        <w:textAlignment w:val="auto"/>
        <w:rPr>
          <w:rFonts w:hint="default" w:eastAsia="宋体" w:cs="Times New Roman"/>
          <w:b/>
          <w:bCs/>
          <w:i/>
          <w:iCs/>
          <w:caps w:val="0"/>
          <w:color w:val="000000"/>
          <w:spacing w:val="0"/>
          <w:sz w:val="20"/>
          <w:szCs w:val="20"/>
          <w:shd w:val="clear" w:fill="FFFFFF"/>
          <w:lang w:val="en-US" w:eastAsia="zh-CN"/>
        </w:rPr>
      </w:pPr>
      <w:r>
        <w:rPr>
          <w:rFonts w:hint="eastAsia" w:eastAsia="宋体" w:cs="Times New Roman"/>
          <w:b/>
          <w:bCs/>
          <w:i/>
          <w:iCs/>
          <w:caps w:val="0"/>
          <w:color w:val="000000"/>
          <w:spacing w:val="0"/>
          <w:sz w:val="20"/>
          <w:szCs w:val="20"/>
          <w:shd w:val="clear" w:fill="FFFFFF"/>
          <w:lang w:val="en-US" w:eastAsia="zh-CN"/>
        </w:rPr>
        <w:t xml:space="preserve">Observation 2: For channel quality report, </w:t>
      </w:r>
      <w:r>
        <w:rPr>
          <w:rFonts w:hint="default" w:ascii="Times New Roman" w:hAnsi="Times New Roman" w:eastAsia="sans-serif" w:cs="Times New Roman"/>
          <w:b/>
          <w:bCs/>
          <w:i/>
          <w:iCs/>
          <w:caps w:val="0"/>
          <w:color w:val="000000"/>
          <w:spacing w:val="0"/>
          <w:sz w:val="20"/>
          <w:szCs w:val="20"/>
          <w:shd w:val="clear" w:fill="FFFFFF"/>
        </w:rPr>
        <w:t>Option 1</w:t>
      </w:r>
      <w:r>
        <w:rPr>
          <w:rFonts w:hint="eastAsia" w:eastAsia="宋体" w:cs="Times New Roman"/>
          <w:b/>
          <w:bCs/>
          <w:i/>
          <w:iCs/>
          <w:caps w:val="0"/>
          <w:color w:val="000000"/>
          <w:spacing w:val="0"/>
          <w:sz w:val="20"/>
          <w:szCs w:val="20"/>
          <w:shd w:val="clear" w:fill="FFFFFF"/>
          <w:lang w:val="en-US" w:eastAsia="zh-CN"/>
        </w:rPr>
        <w:t xml:space="preserve"> </w:t>
      </w:r>
      <w:r>
        <w:rPr>
          <w:rFonts w:hint="eastAsia" w:eastAsia="sans-serif" w:cs="Times New Roman"/>
          <w:b/>
          <w:bCs/>
          <w:i/>
          <w:iCs/>
          <w:caps w:val="0"/>
          <w:color w:val="000000"/>
          <w:spacing w:val="0"/>
          <w:sz w:val="20"/>
          <w:szCs w:val="20"/>
          <w:shd w:val="clear" w:fill="FFFFFF"/>
          <w:lang w:val="en-US" w:eastAsia="zh-CN"/>
        </w:rPr>
        <w:t>will lead to a performance loss on CQI report for NPDSCH and a waste of feedback overhead since</w:t>
      </w:r>
      <w:r>
        <w:rPr>
          <w:rFonts w:hint="eastAsia" w:eastAsia="宋体" w:cs="Times New Roman"/>
          <w:b/>
          <w:bCs/>
          <w:i/>
          <w:iCs/>
          <w:caps w:val="0"/>
          <w:color w:val="000000"/>
          <w:spacing w:val="0"/>
          <w:sz w:val="20"/>
          <w:szCs w:val="20"/>
          <w:shd w:val="clear" w:fill="FFFFFF"/>
          <w:lang w:val="en-US" w:eastAsia="zh-CN"/>
        </w:rPr>
        <w:t xml:space="preserve"> some</w:t>
      </w:r>
      <w:r>
        <w:rPr>
          <w:rFonts w:hint="default" w:ascii="Times New Roman" w:hAnsi="Times New Roman" w:eastAsia="sans-serif" w:cs="Times New Roman"/>
          <w:b/>
          <w:bCs/>
          <w:i/>
          <w:iCs/>
          <w:caps w:val="0"/>
          <w:color w:val="000000"/>
          <w:spacing w:val="0"/>
          <w:sz w:val="20"/>
          <w:szCs w:val="20"/>
          <w:shd w:val="clear" w:fill="FFFFFF"/>
        </w:rPr>
        <w:t xml:space="preserve"> </w:t>
      </w:r>
      <w:r>
        <w:rPr>
          <w:rFonts w:hint="eastAsia" w:eastAsia="宋体" w:cs="Times New Roman"/>
          <w:b/>
          <w:bCs/>
          <w:i/>
          <w:iCs/>
          <w:caps w:val="0"/>
          <w:color w:val="000000"/>
          <w:spacing w:val="0"/>
          <w:sz w:val="20"/>
          <w:szCs w:val="20"/>
          <w:shd w:val="clear" w:fill="FFFFFF"/>
          <w:lang w:val="en-US" w:eastAsia="zh-CN"/>
        </w:rPr>
        <w:t xml:space="preserve">CQI </w:t>
      </w:r>
      <w:r>
        <w:rPr>
          <w:rFonts w:hint="default" w:ascii="Times New Roman" w:hAnsi="Times New Roman" w:eastAsia="sans-serif" w:cs="Times New Roman"/>
          <w:b/>
          <w:bCs/>
          <w:i/>
          <w:iCs/>
          <w:caps w:val="0"/>
          <w:color w:val="000000"/>
          <w:spacing w:val="0"/>
          <w:sz w:val="20"/>
          <w:szCs w:val="20"/>
          <w:shd w:val="clear" w:fill="FFFFFF"/>
        </w:rPr>
        <w:t>entri</w:t>
      </w:r>
      <w:r>
        <w:rPr>
          <w:rFonts w:hint="eastAsia" w:ascii="Times New Roman" w:hAnsi="Times New Roman" w:eastAsia="宋体" w:cs="Times New Roman"/>
          <w:b/>
          <w:bCs/>
          <w:i/>
          <w:iCs/>
          <w:caps w:val="0"/>
          <w:color w:val="000000"/>
          <w:spacing w:val="0"/>
          <w:sz w:val="20"/>
          <w:szCs w:val="20"/>
          <w:shd w:val="clear" w:fill="FFFFFF"/>
          <w:lang w:val="en-US" w:eastAsia="zh-CN"/>
        </w:rPr>
        <w:t>e</w:t>
      </w:r>
      <w:r>
        <w:rPr>
          <w:rFonts w:hint="default" w:ascii="Times New Roman" w:hAnsi="Times New Roman" w:eastAsia="sans-serif" w:cs="Times New Roman"/>
          <w:b/>
          <w:bCs/>
          <w:i/>
          <w:iCs/>
          <w:caps w:val="0"/>
          <w:color w:val="000000"/>
          <w:spacing w:val="0"/>
          <w:sz w:val="20"/>
          <w:szCs w:val="20"/>
          <w:shd w:val="clear" w:fill="FFFFFF"/>
        </w:rPr>
        <w:t>s</w:t>
      </w:r>
      <w:r>
        <w:rPr>
          <w:rFonts w:hint="eastAsia" w:eastAsia="宋体" w:cs="Times New Roman"/>
          <w:b/>
          <w:bCs/>
          <w:i/>
          <w:iCs/>
          <w:caps w:val="0"/>
          <w:color w:val="000000"/>
          <w:spacing w:val="0"/>
          <w:sz w:val="20"/>
          <w:szCs w:val="20"/>
          <w:shd w:val="clear" w:fill="FFFFFF"/>
          <w:lang w:val="en-US" w:eastAsia="zh-CN"/>
        </w:rPr>
        <w:t xml:space="preserve"> with </w:t>
      </w:r>
      <w:r>
        <w:rPr>
          <w:rFonts w:hint="default" w:ascii="Times New Roman" w:hAnsi="Times New Roman" w:eastAsia="sans-serif" w:cs="Times New Roman"/>
          <w:b/>
          <w:bCs/>
          <w:i/>
          <w:iCs/>
          <w:caps w:val="0"/>
          <w:color w:val="000000"/>
          <w:spacing w:val="0"/>
          <w:sz w:val="20"/>
          <w:szCs w:val="20"/>
          <w:shd w:val="clear" w:fill="FFFFFF"/>
        </w:rPr>
        <w:t>PDCCH repetitions</w:t>
      </w:r>
      <w:r>
        <w:rPr>
          <w:rFonts w:hint="eastAsia" w:eastAsia="宋体" w:cs="Times New Roman"/>
          <w:b/>
          <w:bCs/>
          <w:i/>
          <w:iCs/>
          <w:caps w:val="0"/>
          <w:color w:val="000000"/>
          <w:spacing w:val="0"/>
          <w:sz w:val="20"/>
          <w:szCs w:val="20"/>
          <w:shd w:val="clear" w:fill="FFFFFF"/>
          <w:lang w:val="en-US" w:eastAsia="zh-CN"/>
        </w:rPr>
        <w:t xml:space="preserve"> cannot be used for NPDSCH.</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line="240" w:lineRule="auto"/>
        <w:textAlignment w:val="auto"/>
        <w:rPr>
          <w:rFonts w:hint="eastAsia" w:cs="Times New Roman" w:eastAsiaTheme="minorEastAsia"/>
          <w:b/>
          <w:bCs/>
          <w:i/>
          <w:iCs/>
          <w:sz w:val="20"/>
          <w:szCs w:val="20"/>
          <w:lang w:val="en-US" w:eastAsia="zh-CN"/>
        </w:rPr>
      </w:pPr>
      <w:r>
        <w:rPr>
          <w:rFonts w:hint="eastAsia" w:cs="Times New Roman"/>
          <w:b/>
          <w:bCs/>
          <w:i/>
          <w:iCs/>
          <w:sz w:val="20"/>
          <w:szCs w:val="20"/>
          <w:lang w:val="en-US" w:eastAsia="zh-CN"/>
        </w:rPr>
        <w:t xml:space="preserve">Proposal 1: Confirm the working assumption for </w:t>
      </w:r>
      <m:oMath>
        <m:sSub>
          <m:sSubPr>
            <m:ctrlPr>
              <w:rPr>
                <w:rFonts w:ascii="Cambria Math" w:hAnsi="Cambria Math"/>
                <w:b/>
                <w:bCs/>
                <w:i/>
                <w:iCs/>
                <w:sz w:val="20"/>
                <w:szCs w:val="20"/>
              </w:rPr>
            </m:ctrlPr>
          </m:sSubPr>
          <m:e>
            <m:r>
              <m:rPr>
                <m:sty m:val="bi"/>
              </m:rPr>
              <w:rPr>
                <w:rFonts w:ascii="Cambria Math" w:hAnsi="Cambria Math"/>
                <w:sz w:val="20"/>
                <w:szCs w:val="20"/>
              </w:rPr>
              <m:t>∆</m:t>
            </m:r>
            <m:ctrlPr>
              <w:rPr>
                <w:rFonts w:ascii="Cambria Math" w:hAnsi="Cambria Math"/>
                <w:b/>
                <w:bCs/>
                <w:i/>
                <w:iCs/>
                <w:sz w:val="20"/>
                <w:szCs w:val="20"/>
              </w:rPr>
            </m:ctrlPr>
          </m:e>
          <m:sub>
            <m:r>
              <m:rPr>
                <m:sty m:val="bi"/>
              </m:rPr>
              <w:rPr>
                <w:rFonts w:ascii="Cambria Math" w:hAnsi="Cambria Math"/>
                <w:sz w:val="20"/>
                <w:szCs w:val="20"/>
              </w:rPr>
              <m:t>TF,c</m:t>
            </m:r>
            <m:ctrlPr>
              <w:rPr>
                <w:rFonts w:ascii="Cambria Math" w:hAnsi="Cambria Math"/>
                <w:b/>
                <w:bCs/>
                <w:i/>
                <w:iCs/>
                <w:sz w:val="20"/>
                <w:szCs w:val="20"/>
              </w:rPr>
            </m:ctrlPr>
          </m:sub>
        </m:sSub>
      </m:oMath>
      <w:r>
        <w:rPr>
          <w:rFonts w:ascii="Times New Roman" w:hAnsi="Times New Roman"/>
          <w:b/>
          <w:bCs/>
          <w:i/>
          <w:iCs/>
          <w:sz w:val="20"/>
          <w:szCs w:val="20"/>
        </w:rPr>
        <w:t xml:space="preserve"> introduced for power control of NPUSCH</w:t>
      </w:r>
      <w:r>
        <w:rPr>
          <w:rFonts w:hint="eastAsia"/>
          <w:b/>
          <w:bCs/>
          <w:i/>
          <w:iCs/>
          <w:sz w:val="20"/>
          <w:szCs w:val="20"/>
          <w:lang w:val="en-US" w:eastAsia="zh-CN"/>
        </w:rPr>
        <w:t>.</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line="240" w:lineRule="auto"/>
        <w:textAlignment w:val="auto"/>
        <w:rPr>
          <w:rFonts w:hint="default" w:ascii="Times New Roman" w:hAnsi="Times New Roman" w:cs="Times New Roman" w:eastAsiaTheme="minorEastAsia"/>
          <w:b/>
          <w:bCs/>
          <w:i/>
          <w:iCs/>
          <w:sz w:val="20"/>
          <w:szCs w:val="20"/>
          <w:lang w:val="en-US" w:eastAsia="zh-CN"/>
        </w:rPr>
      </w:pPr>
      <w:r>
        <w:rPr>
          <w:rFonts w:hint="default" w:ascii="Times New Roman" w:hAnsi="Times New Roman" w:eastAsia="宋体" w:cs="Times New Roman"/>
          <w:b/>
          <w:bCs/>
          <w:i/>
          <w:iCs/>
          <w:sz w:val="20"/>
          <w:szCs w:val="20"/>
          <w:lang w:val="en-US" w:eastAsia="zh-CN"/>
        </w:rPr>
        <w:t xml:space="preserve">Proposal </w:t>
      </w:r>
      <w:r>
        <w:rPr>
          <w:rFonts w:hint="eastAsia" w:eastAsia="宋体" w:cs="Times New Roman"/>
          <w:b/>
          <w:bCs/>
          <w:i/>
          <w:iCs/>
          <w:sz w:val="20"/>
          <w:szCs w:val="20"/>
          <w:lang w:val="en-US" w:eastAsia="zh-CN"/>
        </w:rPr>
        <w:t>2</w:t>
      </w:r>
      <w:r>
        <w:rPr>
          <w:rFonts w:hint="default" w:ascii="Times New Roman" w:hAnsi="Times New Roman" w:eastAsia="宋体" w:cs="Times New Roman"/>
          <w:b/>
          <w:bCs/>
          <w:i/>
          <w:iCs/>
          <w:sz w:val="20"/>
          <w:szCs w:val="20"/>
          <w:lang w:val="en-US" w:eastAsia="zh-CN"/>
        </w:rPr>
        <w:t>: A</w:t>
      </w:r>
      <w:r>
        <w:rPr>
          <w:rFonts w:hint="default" w:ascii="Times New Roman" w:hAnsi="Times New Roman" w:cs="Times New Roman"/>
          <w:b/>
          <w:bCs/>
          <w:i/>
          <w:iCs/>
          <w:sz w:val="20"/>
          <w:szCs w:val="20"/>
        </w:rPr>
        <w:t xml:space="preserve">n offset </w:t>
      </w:r>
      <w:r>
        <w:rPr>
          <w:rFonts w:hint="default" w:ascii="Times New Roman" w:hAnsi="Times New Roman" w:cs="Times New Roman"/>
          <w:b/>
          <w:bCs/>
          <w:i/>
          <w:iCs/>
          <w:sz w:val="20"/>
          <w:szCs w:val="20"/>
          <w:lang w:val="en-US" w:eastAsia="zh-CN"/>
        </w:rPr>
        <w:t>can be</w:t>
      </w:r>
      <w:r>
        <w:rPr>
          <w:rFonts w:hint="default" w:ascii="Times New Roman" w:hAnsi="Times New Roman" w:cs="Times New Roman"/>
          <w:b/>
          <w:bCs/>
          <w:i/>
          <w:iCs/>
          <w:sz w:val="20"/>
          <w:szCs w:val="20"/>
        </w:rPr>
        <w:t xml:space="preserve"> applied on </w:t>
      </w:r>
      <m:oMath>
        <m:sSub>
          <m:sSubPr>
            <m:ctrlPr>
              <w:rPr>
                <w:rFonts w:hint="default" w:ascii="Cambria Math" w:hAnsi="Cambria Math" w:cs="Times New Roman"/>
                <w:b/>
                <w:bCs/>
                <w:i/>
                <w:iCs/>
                <w:sz w:val="20"/>
                <w:szCs w:val="20"/>
              </w:rPr>
            </m:ctrlPr>
          </m:sSubPr>
          <m:e>
            <m:r>
              <m:rPr>
                <m:sty m:val="bi"/>
              </m:rPr>
              <w:rPr>
                <w:rFonts w:hint="default" w:ascii="Cambria Math" w:hAnsi="Cambria Math" w:cs="Times New Roman"/>
                <w:sz w:val="20"/>
                <w:szCs w:val="20"/>
              </w:rPr>
              <m:t>∆</m:t>
            </m:r>
            <m:ctrlPr>
              <w:rPr>
                <w:rFonts w:hint="default" w:ascii="Cambria Math" w:hAnsi="Cambria Math" w:cs="Times New Roman"/>
                <w:b/>
                <w:bCs/>
                <w:i/>
                <w:iCs/>
                <w:sz w:val="20"/>
                <w:szCs w:val="20"/>
              </w:rPr>
            </m:ctrlPr>
          </m:e>
          <m:sub>
            <m:r>
              <m:rPr>
                <m:sty m:val="bi"/>
              </m:rPr>
              <w:rPr>
                <w:rFonts w:hint="default" w:ascii="Cambria Math" w:hAnsi="Cambria Math" w:cs="Times New Roman"/>
                <w:sz w:val="20"/>
                <w:szCs w:val="20"/>
              </w:rPr>
              <m:t>TF,c</m:t>
            </m:r>
            <m:ctrlPr>
              <w:rPr>
                <w:rFonts w:hint="default" w:ascii="Cambria Math" w:hAnsi="Cambria Math" w:cs="Times New Roman"/>
                <w:b/>
                <w:bCs/>
                <w:i/>
                <w:iCs/>
                <w:sz w:val="20"/>
                <w:szCs w:val="20"/>
              </w:rPr>
            </m:ctrlPr>
          </m:sub>
        </m:sSub>
      </m:oMath>
      <w:r>
        <w:rPr>
          <w:rFonts w:hint="default" w:ascii="Times New Roman" w:hAnsi="Times New Roman" w:cs="Times New Roman"/>
          <w:b/>
          <w:bCs/>
          <w:i/>
          <w:iCs/>
          <w:sz w:val="20"/>
          <w:szCs w:val="20"/>
        </w:rPr>
        <w:t xml:space="preserve"> </w:t>
      </w:r>
      <w:r>
        <w:rPr>
          <w:rFonts w:hint="default" w:ascii="Times New Roman" w:hAnsi="Times New Roman" w:cs="Times New Roman"/>
          <w:b/>
          <w:bCs/>
          <w:i/>
          <w:iCs/>
          <w:sz w:val="20"/>
          <w:szCs w:val="20"/>
          <w:lang w:val="en-US" w:eastAsia="zh-CN"/>
        </w:rPr>
        <w:t xml:space="preserve">or </w:t>
      </w:r>
      <m:oMath>
        <m:sSub>
          <m:sSubPr>
            <m:ctrlPr>
              <w:rPr>
                <w:rFonts w:hint="default" w:ascii="Cambria Math" w:hAnsi="Cambria Math" w:eastAsia="Cambria Math" w:cs="Times New Roman"/>
                <w:b/>
                <w:bCs/>
                <w:i/>
                <w:iCs/>
                <w:sz w:val="20"/>
                <w:szCs w:val="20"/>
              </w:rPr>
            </m:ctrlPr>
          </m:sSubPr>
          <m:e>
            <m:r>
              <m:rPr>
                <m:sty m:val="bi"/>
              </m:rPr>
              <w:rPr>
                <w:rFonts w:hint="default" w:ascii="Cambria Math" w:hAnsi="Cambria Math" w:eastAsia="Cambria Math" w:cs="Times New Roman"/>
                <w:sz w:val="20"/>
                <w:szCs w:val="20"/>
              </w:rPr>
              <m:t>P</m:t>
            </m:r>
            <m:ctrlPr>
              <w:rPr>
                <w:rFonts w:hint="default" w:ascii="Cambria Math" w:hAnsi="Cambria Math" w:eastAsia="Cambria Math" w:cs="Times New Roman"/>
                <w:b/>
                <w:bCs/>
                <w:i/>
                <w:iCs/>
                <w:sz w:val="20"/>
                <w:szCs w:val="20"/>
              </w:rPr>
            </m:ctrlPr>
          </m:e>
          <m:sub>
            <m:r>
              <m:rPr>
                <m:sty m:val="bi"/>
              </m:rPr>
              <w:rPr>
                <w:rFonts w:hint="default" w:ascii="Cambria Math" w:hAnsi="Cambria Math" w:eastAsia="Cambria Math" w:cs="Times New Roman"/>
                <w:sz w:val="20"/>
                <w:szCs w:val="20"/>
              </w:rPr>
              <m:t>O_NOMINAL_NPUSCH,c</m:t>
            </m:r>
            <m:ctrlPr>
              <w:rPr>
                <w:rFonts w:hint="default" w:ascii="Cambria Math" w:hAnsi="Cambria Math" w:eastAsia="Cambria Math" w:cs="Times New Roman"/>
                <w:b/>
                <w:bCs/>
                <w:i/>
                <w:iCs/>
                <w:sz w:val="20"/>
                <w:szCs w:val="20"/>
              </w:rPr>
            </m:ctrlPr>
          </m:sub>
        </m:sSub>
      </m:oMath>
      <w:r>
        <w:rPr>
          <w:rFonts w:hint="default" w:ascii="Times New Roman" w:hAnsi="Times New Roman" w:eastAsia="宋体" w:cs="Times New Roman"/>
          <w:b/>
          <w:bCs/>
          <w:i/>
          <w:iCs/>
          <w:sz w:val="20"/>
          <w:szCs w:val="20"/>
          <w:lang w:val="en-US" w:eastAsia="zh-CN"/>
        </w:rPr>
        <w:t xml:space="preserve"> </w:t>
      </w:r>
      <w:r>
        <w:rPr>
          <w:rFonts w:hint="default" w:ascii="Times New Roman" w:hAnsi="Times New Roman" w:cs="Times New Roman"/>
          <w:b/>
          <w:bCs/>
          <w:i/>
          <w:iCs/>
          <w:sz w:val="20"/>
          <w:szCs w:val="20"/>
        </w:rPr>
        <w:t>to reduce the power difference between QPSK and 16QAM</w:t>
      </w:r>
      <w:r>
        <w:rPr>
          <w:rFonts w:hint="default" w:ascii="Times New Roman" w:hAnsi="Times New Roman" w:cs="Times New Roman"/>
          <w:b/>
          <w:bCs/>
          <w:i/>
          <w:iCs/>
          <w:sz w:val="20"/>
          <w:szCs w:val="20"/>
          <w:lang w:val="en-US" w:eastAsia="zh-CN"/>
        </w:rPr>
        <w:t>.</w:t>
      </w:r>
    </w:p>
    <w:p>
      <w:pPr>
        <w:keepNext w:val="0"/>
        <w:keepLines w:val="0"/>
        <w:pageBreakBefore w:val="0"/>
        <w:widowControl/>
        <w:numPr>
          <w:ilvl w:val="0"/>
          <w:numId w:val="7"/>
        </w:numPr>
        <w:kinsoku/>
        <w:wordWrap/>
        <w:overflowPunct/>
        <w:topLinePunct w:val="0"/>
        <w:autoSpaceDE w:val="0"/>
        <w:autoSpaceDN w:val="0"/>
        <w:bidi w:val="0"/>
        <w:adjustRightInd w:val="0"/>
        <w:snapToGrid w:val="0"/>
        <w:spacing w:line="240" w:lineRule="auto"/>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The offset could be indicated by higher layers</w:t>
      </w:r>
      <w:r>
        <w:rPr>
          <w:rFonts w:hint="eastAsia" w:cs="Times New Roman"/>
          <w:b/>
          <w:bCs/>
          <w:i/>
          <w:iCs/>
          <w:sz w:val="20"/>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spacing w:line="240" w:lineRule="auto"/>
        <w:textAlignment w:val="auto"/>
        <w:rPr>
          <w:rFonts w:hint="eastAsia" w:cs="Times New Roman" w:eastAsiaTheme="minorEastAsia"/>
          <w:b/>
          <w:bCs/>
          <w:i/>
          <w:iCs/>
          <w:sz w:val="20"/>
          <w:szCs w:val="20"/>
          <w:lang w:val="en-US" w:eastAsia="zh-CN"/>
        </w:rPr>
      </w:pPr>
      <w:r>
        <w:rPr>
          <w:rFonts w:hint="eastAsia" w:eastAsia="宋体" w:cs="Times New Roman"/>
          <w:b/>
          <w:bCs/>
          <w:i/>
          <w:iCs/>
          <w:sz w:val="20"/>
          <w:szCs w:val="20"/>
          <w:lang w:val="en-US" w:eastAsia="zh-CN" w:bidi="ar"/>
        </w:rPr>
        <w:t xml:space="preserve">Proposal 3: </w:t>
      </w:r>
      <w:r>
        <w:rPr>
          <w:rFonts w:hint="default" w:ascii="Times New Roman" w:hAnsi="Times New Roman" w:eastAsia="宋体" w:cs="Times New Roman"/>
          <w:b/>
          <w:bCs/>
          <w:i/>
          <w:iCs/>
          <w:sz w:val="20"/>
          <w:szCs w:val="20"/>
          <w:lang w:val="en-US" w:eastAsia="zh-CN" w:bidi="ar"/>
        </w:rPr>
        <w:t xml:space="preserve">Closed-loop power control </w:t>
      </w:r>
      <w:r>
        <w:rPr>
          <w:rFonts w:hint="eastAsia" w:ascii="Times New Roman" w:hAnsi="Times New Roman" w:eastAsia="宋体" w:cs="Times New Roman"/>
          <w:b/>
          <w:bCs/>
          <w:i/>
          <w:iCs/>
          <w:sz w:val="20"/>
          <w:szCs w:val="20"/>
          <w:lang w:val="en-US" w:eastAsia="zh-CN" w:bidi="ar"/>
        </w:rPr>
        <w:t xml:space="preserve">could </w:t>
      </w:r>
      <w:r>
        <w:rPr>
          <w:rFonts w:hint="default" w:ascii="Times New Roman" w:hAnsi="Times New Roman" w:eastAsia="宋体" w:cs="Times New Roman"/>
          <w:b/>
          <w:bCs/>
          <w:i/>
          <w:iCs/>
          <w:sz w:val="20"/>
          <w:szCs w:val="20"/>
          <w:lang w:val="en-US" w:eastAsia="zh-CN" w:bidi="ar"/>
        </w:rPr>
        <w:t xml:space="preserve">be </w:t>
      </w:r>
      <w:r>
        <w:rPr>
          <w:rFonts w:hint="eastAsia" w:ascii="Times New Roman" w:hAnsi="Times New Roman" w:eastAsia="宋体" w:cs="Times New Roman"/>
          <w:b/>
          <w:bCs/>
          <w:i/>
          <w:iCs/>
          <w:sz w:val="20"/>
          <w:szCs w:val="20"/>
          <w:lang w:val="en-US" w:eastAsia="zh-CN" w:bidi="ar"/>
        </w:rPr>
        <w:t xml:space="preserve">applied to </w:t>
      </w:r>
      <w:r>
        <w:rPr>
          <w:rFonts w:hint="default" w:ascii="Times New Roman" w:hAnsi="Times New Roman" w:eastAsia="宋体" w:cs="Times New Roman"/>
          <w:b/>
          <w:bCs/>
          <w:i/>
          <w:iCs/>
          <w:sz w:val="20"/>
          <w:szCs w:val="20"/>
          <w:lang w:val="en-US" w:eastAsia="zh-CN" w:bidi="ar"/>
        </w:rPr>
        <w:t>dynamical</w:t>
      </w:r>
      <w:r>
        <w:rPr>
          <w:rFonts w:hint="eastAsia" w:eastAsia="宋体" w:cs="Times New Roman"/>
          <w:b/>
          <w:bCs/>
          <w:i/>
          <w:iCs/>
          <w:sz w:val="20"/>
          <w:szCs w:val="20"/>
          <w:lang w:val="en-US" w:eastAsia="zh-CN" w:bidi="ar"/>
        </w:rPr>
        <w:t>ly</w:t>
      </w:r>
      <w:r>
        <w:rPr>
          <w:rFonts w:hint="eastAsia" w:ascii="Times New Roman" w:hAnsi="Times New Roman" w:eastAsia="宋体" w:cs="Times New Roman"/>
          <w:b/>
          <w:bCs/>
          <w:i/>
          <w:iCs/>
          <w:sz w:val="20"/>
          <w:szCs w:val="20"/>
          <w:lang w:val="en-US" w:eastAsia="zh-CN" w:bidi="ar"/>
        </w:rPr>
        <w:t xml:space="preserve"> indicate </w:t>
      </w:r>
      <w:r>
        <w:rPr>
          <w:rFonts w:hint="default" w:ascii="Times New Roman" w:hAnsi="Times New Roman" w:eastAsia="Batang" w:cs="Times New Roman"/>
          <w:b/>
          <w:bCs/>
          <w:i/>
          <w:iCs/>
          <w:sz w:val="20"/>
          <w:szCs w:val="20"/>
          <w:lang w:val="en-US" w:eastAsia="en-US" w:bidi="ar"/>
        </w:rPr>
        <w:t>power offset</w:t>
      </w:r>
      <w:r>
        <w:rPr>
          <w:rFonts w:hint="eastAsia" w:eastAsia="宋体" w:cs="Times New Roman"/>
          <w:b/>
          <w:bCs/>
          <w:i/>
          <w:iCs/>
          <w:sz w:val="20"/>
          <w:szCs w:val="20"/>
          <w:lang w:val="en-US" w:eastAsia="zh-CN" w:bidi="ar"/>
        </w:rPr>
        <w:t xml:space="preserve"> </w:t>
      </w:r>
      <w:r>
        <w:rPr>
          <w:rFonts w:hint="default" w:ascii="Times New Roman" w:hAnsi="Times New Roman" w:eastAsia="宋体" w:cs="Times New Roman"/>
          <w:b/>
          <w:bCs/>
          <w:i/>
          <w:iCs/>
          <w:sz w:val="20"/>
          <w:szCs w:val="20"/>
          <w:lang w:val="en-US" w:eastAsia="zh-CN" w:bidi="ar"/>
        </w:rPr>
        <w:t>for 16QAM</w:t>
      </w:r>
      <w:r>
        <w:rPr>
          <w:rFonts w:hint="eastAsia" w:ascii="Times New Roman" w:hAnsi="Times New Roman" w:eastAsia="宋体" w:cs="Times New Roman"/>
          <w:b/>
          <w:bCs/>
          <w:i/>
          <w:iCs/>
          <w:sz w:val="20"/>
          <w:szCs w:val="20"/>
          <w:lang w:val="en-US" w:eastAsia="zh-CN" w:bidi="ar"/>
        </w:rPr>
        <w:t>.</w:t>
      </w:r>
      <w:r>
        <w:rPr>
          <w:rFonts w:hint="eastAsia" w:eastAsia="宋体" w:cs="Times New Roman"/>
          <w:b/>
          <w:bCs/>
          <w:i/>
          <w:iCs/>
          <w:sz w:val="20"/>
          <w:szCs w:val="20"/>
          <w:lang w:val="en-US" w:eastAsia="zh-CN" w:bidi="ar"/>
        </w:rPr>
        <w:t xml:space="preserve"> </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line="240" w:lineRule="auto"/>
        <w:textAlignment w:val="auto"/>
        <w:rPr>
          <w:rFonts w:hint="eastAsia" w:eastAsia="宋体"/>
          <w:b/>
          <w:bCs/>
          <w:i/>
          <w:iCs/>
          <w:sz w:val="20"/>
          <w:szCs w:val="20"/>
          <w:lang w:val="en-US" w:eastAsia="zh-CN"/>
        </w:rPr>
      </w:pPr>
      <w:r>
        <w:rPr>
          <w:rFonts w:hint="eastAsia" w:eastAsia="宋体"/>
          <w:b/>
          <w:bCs/>
          <w:i/>
          <w:iCs/>
          <w:sz w:val="20"/>
          <w:szCs w:val="20"/>
          <w:lang w:val="en-US" w:eastAsia="zh-CN"/>
        </w:rPr>
        <w:t>Proposal 4: Table 2 or 3 can be adopted for channel quality report for NPDSCH.</w:t>
      </w:r>
    </w:p>
    <w:p>
      <w:pPr>
        <w:pageBreakBefore w:val="0"/>
        <w:widowControl/>
        <w:tabs>
          <w:tab w:val="left" w:pos="405"/>
        </w:tabs>
        <w:kinsoku/>
        <w:wordWrap/>
        <w:overflowPunct/>
        <w:topLinePunct w:val="0"/>
        <w:bidi w:val="0"/>
        <w:spacing w:before="120" w:beforeLines="50" w:line="276" w:lineRule="auto"/>
        <w:textAlignment w:val="auto"/>
        <w:rPr>
          <w:sz w:val="20"/>
          <w:szCs w:val="20"/>
          <w:lang w:eastAsia="zh-CN"/>
        </w:rPr>
      </w:pPr>
    </w:p>
    <w:p>
      <w:pPr>
        <w:pStyle w:val="2"/>
        <w:keepLines/>
        <w:numPr>
          <w:ilvl w:val="0"/>
          <w:numId w:val="4"/>
        </w:numPr>
        <w:pBdr>
          <w:top w:val="single" w:color="auto" w:sz="12" w:space="3"/>
        </w:pBdr>
        <w:autoSpaceDE/>
        <w:autoSpaceDN/>
        <w:adjustRightInd/>
        <w:snapToGrid/>
        <w:spacing w:after="180"/>
        <w:jc w:val="left"/>
        <w:rPr>
          <w:rFonts w:cs="Arial"/>
        </w:rPr>
      </w:pPr>
      <w:r>
        <w:rPr>
          <w:rFonts w:cs="Arial"/>
        </w:rPr>
        <w:t>Reference</w:t>
      </w:r>
    </w:p>
    <w:p>
      <w:pPr>
        <w:pageBreakBefore w:val="0"/>
        <w:widowControl/>
        <w:numPr>
          <w:ilvl w:val="0"/>
          <w:numId w:val="8"/>
        </w:numPr>
        <w:kinsoku/>
        <w:wordWrap/>
        <w:overflowPunct/>
        <w:topLinePunct w:val="0"/>
        <w:autoSpaceDE/>
        <w:autoSpaceDN/>
        <w:bidi w:val="0"/>
        <w:adjustRightInd/>
        <w:snapToGrid/>
        <w:spacing w:after="0" w:line="276" w:lineRule="auto"/>
        <w:jc w:val="left"/>
        <w:textAlignment w:val="auto"/>
        <w:rPr>
          <w:rFonts w:hint="eastAsia" w:ascii="Times New Roman" w:hAnsi="Times New Roman"/>
          <w:sz w:val="20"/>
          <w:lang w:val="en-US" w:eastAsia="zh-CN"/>
        </w:rPr>
      </w:pPr>
      <w:r>
        <w:rPr>
          <w:rFonts w:hint="eastAsia" w:ascii="Times New Roman" w:hAnsi="Times New Roman"/>
          <w:sz w:val="20"/>
          <w:lang w:val="en-US" w:eastAsia="zh-CN"/>
        </w:rPr>
        <w:t xml:space="preserve">3GPP, </w:t>
      </w:r>
      <w:r>
        <w:rPr>
          <w:rFonts w:ascii="Times New Roman" w:hAnsi="Times New Roman"/>
          <w:sz w:val="20"/>
          <w:lang w:val="en-US"/>
        </w:rPr>
        <w:t>Draft Report of 3GPP TSG RAN WG1 #106b-e v0.1.0</w:t>
      </w:r>
      <w:r>
        <w:rPr>
          <w:rFonts w:hint="eastAsia" w:ascii="Times New Roman" w:hAnsi="Times New Roman"/>
          <w:sz w:val="20"/>
          <w:lang w:val="en-US" w:eastAsia="zh-CN"/>
        </w:rPr>
        <w:t>, RAN1#10</w:t>
      </w:r>
      <w:r>
        <w:rPr>
          <w:rFonts w:hint="eastAsia"/>
          <w:sz w:val="20"/>
          <w:lang w:val="en-US" w:eastAsia="zh-CN"/>
        </w:rPr>
        <w:t>6bis</w:t>
      </w:r>
      <w:r>
        <w:rPr>
          <w:rFonts w:hint="eastAsia" w:ascii="Times New Roman" w:hAnsi="Times New Roman"/>
          <w:sz w:val="20"/>
          <w:lang w:val="en-US" w:eastAsia="zh-CN"/>
        </w:rPr>
        <w:t>-e</w:t>
      </w:r>
    </w:p>
    <w:p>
      <w:pPr>
        <w:pageBreakBefore w:val="0"/>
        <w:widowControl/>
        <w:numPr>
          <w:ilvl w:val="0"/>
          <w:numId w:val="8"/>
        </w:numPr>
        <w:kinsoku/>
        <w:wordWrap/>
        <w:overflowPunct/>
        <w:topLinePunct w:val="0"/>
        <w:autoSpaceDE/>
        <w:autoSpaceDN/>
        <w:bidi w:val="0"/>
        <w:adjustRightInd/>
        <w:snapToGrid/>
        <w:spacing w:after="0" w:line="276" w:lineRule="auto"/>
        <w:jc w:val="left"/>
        <w:textAlignment w:val="auto"/>
        <w:rPr>
          <w:rFonts w:hint="eastAsia" w:ascii="Times New Roman" w:hAnsi="Times New Roman"/>
          <w:sz w:val="20"/>
          <w:lang w:val="en-US" w:eastAsia="zh-CN"/>
        </w:rPr>
      </w:pPr>
      <w:r>
        <w:rPr>
          <w:rFonts w:hint="eastAsia" w:ascii="Times New Roman" w:hAnsi="Times New Roman"/>
          <w:sz w:val="20"/>
          <w:lang w:val="en-US" w:eastAsia="zh-CN"/>
        </w:rPr>
        <w:fldChar w:fldCharType="begin"/>
      </w:r>
      <w:r>
        <w:rPr>
          <w:rFonts w:hint="eastAsia" w:ascii="Times New Roman" w:hAnsi="Times New Roman"/>
          <w:sz w:val="20"/>
          <w:lang w:val="en-US" w:eastAsia="zh-CN"/>
        </w:rPr>
        <w:instrText xml:space="preserve"> HYPERLINK "../Docs/R1-2110459.zip" </w:instrText>
      </w:r>
      <w:r>
        <w:rPr>
          <w:rFonts w:hint="eastAsia" w:ascii="Times New Roman" w:hAnsi="Times New Roman"/>
          <w:sz w:val="20"/>
          <w:lang w:val="en-US" w:eastAsia="zh-CN"/>
        </w:rPr>
        <w:fldChar w:fldCharType="separate"/>
      </w:r>
      <w:r>
        <w:rPr>
          <w:rFonts w:hint="eastAsia" w:ascii="Times New Roman" w:hAnsi="Times New Roman"/>
          <w:sz w:val="20"/>
          <w:lang w:val="en-US" w:eastAsia="zh-CN"/>
        </w:rPr>
        <w:t>R1-2110459</w:t>
      </w:r>
      <w:r>
        <w:rPr>
          <w:rFonts w:hint="eastAsia" w:ascii="Times New Roman" w:hAnsi="Times New Roman"/>
          <w:sz w:val="20"/>
          <w:lang w:val="en-US" w:eastAsia="zh-CN"/>
        </w:rPr>
        <w:fldChar w:fldCharType="end"/>
      </w:r>
      <w:r>
        <w:rPr>
          <w:rFonts w:hint="eastAsia"/>
          <w:sz w:val="20"/>
          <w:lang w:val="en-US" w:eastAsia="zh-CN"/>
        </w:rPr>
        <w:t xml:space="preserve">, </w:t>
      </w:r>
      <w:r>
        <w:rPr>
          <w:rFonts w:hint="eastAsia" w:ascii="Times New Roman" w:hAnsi="Times New Roman"/>
          <w:sz w:val="20"/>
          <w:lang w:val="en-US" w:eastAsia="zh-CN"/>
        </w:rPr>
        <w:t>Feature lead summary #1 on 106bis-e-LTE-Rel17-NB-IoT-eMTC-01</w:t>
      </w:r>
      <w:r>
        <w:rPr>
          <w:rFonts w:hint="eastAsia"/>
          <w:sz w:val="20"/>
          <w:lang w:val="en-US" w:eastAsia="zh-CN"/>
        </w:rPr>
        <w:t xml:space="preserve">, </w:t>
      </w:r>
      <w:r>
        <w:rPr>
          <w:rFonts w:hint="eastAsia" w:ascii="Times New Roman" w:hAnsi="Times New Roman"/>
          <w:sz w:val="20"/>
          <w:lang w:val="en-US" w:eastAsia="zh-CN"/>
        </w:rPr>
        <w:t>Huawei</w:t>
      </w:r>
      <w:r>
        <w:rPr>
          <w:rFonts w:hint="eastAsia"/>
          <w:sz w:val="20"/>
          <w:lang w:val="en-US" w:eastAsia="zh-CN"/>
        </w:rPr>
        <w:t xml:space="preserve">, </w:t>
      </w:r>
      <w:r>
        <w:rPr>
          <w:rFonts w:hint="eastAsia" w:ascii="Times New Roman" w:hAnsi="Times New Roman"/>
          <w:sz w:val="20"/>
          <w:lang w:val="en-US" w:eastAsia="zh-CN"/>
        </w:rPr>
        <w:t>RAN1#10</w:t>
      </w:r>
      <w:r>
        <w:rPr>
          <w:rFonts w:hint="eastAsia"/>
          <w:sz w:val="20"/>
          <w:lang w:val="en-US" w:eastAsia="zh-CN"/>
        </w:rPr>
        <w:t>6bis</w:t>
      </w:r>
      <w:r>
        <w:rPr>
          <w:rFonts w:hint="eastAsia" w:ascii="Times New Roman" w:hAnsi="Times New Roman"/>
          <w:sz w:val="20"/>
          <w:lang w:val="en-US" w:eastAsia="zh-CN"/>
        </w:rPr>
        <w:t>-e</w:t>
      </w:r>
    </w:p>
    <w:p>
      <w:pPr>
        <w:pageBreakBefore w:val="0"/>
        <w:widowControl/>
        <w:numPr>
          <w:ilvl w:val="0"/>
          <w:numId w:val="0"/>
        </w:numPr>
        <w:kinsoku/>
        <w:wordWrap/>
        <w:overflowPunct/>
        <w:topLinePunct w:val="0"/>
        <w:autoSpaceDE/>
        <w:autoSpaceDN/>
        <w:bidi w:val="0"/>
        <w:adjustRightInd/>
        <w:snapToGrid/>
        <w:spacing w:after="0" w:line="276" w:lineRule="auto"/>
        <w:ind w:leftChars="0"/>
        <w:jc w:val="left"/>
        <w:textAlignment w:val="auto"/>
        <w:rPr>
          <w:sz w:val="20"/>
        </w:rPr>
      </w:pPr>
    </w:p>
    <w:p>
      <w:pPr>
        <w:numPr>
          <w:ilvl w:val="0"/>
          <w:numId w:val="0"/>
        </w:numPr>
        <w:autoSpaceDE/>
        <w:autoSpaceDN/>
        <w:adjustRightInd/>
        <w:snapToGrid/>
        <w:spacing w:after="0" w:line="264" w:lineRule="auto"/>
        <w:jc w:val="both"/>
        <w:rPr>
          <w:sz w:val="20"/>
        </w:rPr>
      </w:pPr>
    </w:p>
    <w:sectPr>
      <w:footnotePr>
        <w:numRestart w:val="eachSect"/>
      </w:footnotePr>
      <w:pgSz w:w="12242" w:h="15842"/>
      <w:pgMar w:top="1418" w:right="1134" w:bottom="1134" w:left="1134" w:header="561" w:footer="561" w:gutter="0"/>
      <w:paperSrc w:first="7" w:other="7"/>
      <w:pgBorders>
        <w:top w:val="none" w:sz="0" w:space="0"/>
        <w:left w:val="none" w:sz="0" w:space="0"/>
        <w:bottom w:val="none" w:sz="0" w:space="0"/>
        <w:right w:val="none" w:sz="0" w:space="0"/>
      </w:pgBorders>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MS LineDraw">
    <w:altName w:val="Courier New"/>
    <w:panose1 w:val="00000000000000000000"/>
    <w:charset w:val="02"/>
    <w:family w:val="modern"/>
    <w:pitch w:val="default"/>
    <w:sig w:usb0="00000000" w:usb1="00000000" w:usb2="00000000" w:usb3="00000000" w:csb0="00000000" w:csb1="00000000"/>
  </w:font>
  <w:font w:name="Yu Gothic">
    <w:altName w:val="MS Gothic"/>
    <w:panose1 w:val="00000000000000000000"/>
    <w:charset w:val="80"/>
    <w:family w:val="swiss"/>
    <w:pitch w:val="default"/>
    <w:sig w:usb0="00000000" w:usb1="00000000" w:usb2="00000016" w:usb3="00000000" w:csb0="000200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2FF" w:usb1="420024FF" w:usb2="00000000" w:usb3="00000000" w:csb0="2000019F" w:csb1="00000000"/>
  </w:font>
  <w:font w:name="仿宋">
    <w:panose1 w:val="02010609060101010101"/>
    <w:charset w:val="86"/>
    <w:family w:val="auto"/>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MS Gothic">
    <w:panose1 w:val="020B0609070205080204"/>
    <w:charset w:val="80"/>
    <w:family w:val="auto"/>
    <w:pitch w:val="default"/>
    <w:sig w:usb0="E00002FF" w:usb1="6AC7FDFB" w:usb2="00000012" w:usb3="00000000" w:csb0="4002009F" w:csb1="DFD7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C4F1CA5"/>
    <w:multiLevelType w:val="multilevel"/>
    <w:tmpl w:val="DC4F1CA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Yu Gothic"/>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Yu Gothic"/>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Yu Gothic"/>
      </w:rPr>
    </w:lvl>
    <w:lvl w:ilvl="8" w:tentative="0">
      <w:start w:val="1"/>
      <w:numFmt w:val="bullet"/>
      <w:lvlText w:val=""/>
      <w:lvlJc w:val="left"/>
      <w:pPr>
        <w:ind w:left="6480" w:hanging="360"/>
      </w:pPr>
      <w:rPr>
        <w:rFonts w:hint="default" w:ascii="Wingdings" w:hAnsi="Wingdings"/>
      </w:rPr>
    </w:lvl>
  </w:abstractNum>
  <w:abstractNum w:abstractNumId="1">
    <w:nsid w:val="259B7128"/>
    <w:multiLevelType w:val="multilevel"/>
    <w:tmpl w:val="259B7128"/>
    <w:lvl w:ilvl="0" w:tentative="0">
      <w:start w:val="1"/>
      <w:numFmt w:val="bullet"/>
      <w:pStyle w:val="68"/>
      <w:lvlText w:val=""/>
      <w:lvlJc w:val="left"/>
      <w:pPr>
        <w:ind w:left="-524" w:hanging="360"/>
      </w:pPr>
      <w:rPr>
        <w:rFonts w:hint="default" w:ascii="Symbol" w:hAnsi="Symbol"/>
      </w:rPr>
    </w:lvl>
    <w:lvl w:ilvl="1" w:tentative="0">
      <w:start w:val="0"/>
      <w:numFmt w:val="bullet"/>
      <w:pStyle w:val="69"/>
      <w:lvlText w:val="-"/>
      <w:lvlJc w:val="left"/>
      <w:pPr>
        <w:ind w:left="-84" w:hanging="400"/>
      </w:pPr>
      <w:rPr>
        <w:rFonts w:hint="default" w:ascii="Times New Roman" w:hAnsi="Times New Roman" w:eastAsia="Batang" w:cs="Times New Roman"/>
      </w:rPr>
    </w:lvl>
    <w:lvl w:ilvl="2" w:tentative="0">
      <w:start w:val="677"/>
      <w:numFmt w:val="bullet"/>
      <w:lvlText w:val="–"/>
      <w:lvlJc w:val="left"/>
      <w:pPr>
        <w:ind w:left="316" w:hanging="400"/>
      </w:pPr>
      <w:rPr>
        <w:rFonts w:hint="default" w:ascii="Arial" w:hAnsi="Arial"/>
      </w:rPr>
    </w:lvl>
    <w:lvl w:ilvl="3" w:tentative="0">
      <w:start w:val="1"/>
      <w:numFmt w:val="bullet"/>
      <w:lvlText w:val=""/>
      <w:lvlJc w:val="left"/>
      <w:pPr>
        <w:ind w:left="716" w:hanging="400"/>
      </w:pPr>
      <w:rPr>
        <w:rFonts w:hint="default" w:ascii="Wingdings" w:hAnsi="Wingdings"/>
      </w:rPr>
    </w:lvl>
    <w:lvl w:ilvl="4" w:tentative="0">
      <w:start w:val="1"/>
      <w:numFmt w:val="bullet"/>
      <w:lvlText w:val=""/>
      <w:lvlJc w:val="left"/>
      <w:pPr>
        <w:ind w:left="1116" w:hanging="400"/>
      </w:pPr>
      <w:rPr>
        <w:rFonts w:hint="default" w:ascii="Wingdings" w:hAnsi="Wingdings"/>
      </w:rPr>
    </w:lvl>
    <w:lvl w:ilvl="5" w:tentative="0">
      <w:start w:val="1"/>
      <w:numFmt w:val="bullet"/>
      <w:lvlText w:val=""/>
      <w:lvlJc w:val="left"/>
      <w:pPr>
        <w:ind w:left="1516" w:hanging="400"/>
      </w:pPr>
      <w:rPr>
        <w:rFonts w:hint="default" w:ascii="Wingdings" w:hAnsi="Wingdings"/>
      </w:rPr>
    </w:lvl>
    <w:lvl w:ilvl="6" w:tentative="0">
      <w:start w:val="1"/>
      <w:numFmt w:val="bullet"/>
      <w:lvlText w:val=""/>
      <w:lvlJc w:val="left"/>
      <w:pPr>
        <w:ind w:left="1916" w:hanging="400"/>
      </w:pPr>
      <w:rPr>
        <w:rFonts w:hint="default" w:ascii="Wingdings" w:hAnsi="Wingdings"/>
      </w:rPr>
    </w:lvl>
    <w:lvl w:ilvl="7" w:tentative="0">
      <w:start w:val="1"/>
      <w:numFmt w:val="bullet"/>
      <w:lvlText w:val=""/>
      <w:lvlJc w:val="left"/>
      <w:pPr>
        <w:ind w:left="2316" w:hanging="400"/>
      </w:pPr>
      <w:rPr>
        <w:rFonts w:hint="default" w:ascii="Wingdings" w:hAnsi="Wingdings"/>
      </w:rPr>
    </w:lvl>
    <w:lvl w:ilvl="8" w:tentative="0">
      <w:start w:val="1"/>
      <w:numFmt w:val="bullet"/>
      <w:lvlText w:val=""/>
      <w:lvlJc w:val="left"/>
      <w:pPr>
        <w:ind w:left="2716" w:hanging="400"/>
      </w:pPr>
      <w:rPr>
        <w:rFonts w:hint="default" w:ascii="Wingdings" w:hAnsi="Wingdings"/>
      </w:rPr>
    </w:lvl>
  </w:abstractNum>
  <w:abstractNum w:abstractNumId="2">
    <w:nsid w:val="28DB083A"/>
    <w:multiLevelType w:val="multilevel"/>
    <w:tmpl w:val="28DB083A"/>
    <w:lvl w:ilvl="0" w:tentative="0">
      <w:start w:val="1"/>
      <w:numFmt w:val="decimal"/>
      <w:lvlText w:val="%1."/>
      <w:lvlJc w:val="left"/>
      <w:pPr>
        <w:tabs>
          <w:tab w:val="left" w:pos="405"/>
        </w:tabs>
        <w:ind w:left="405" w:hanging="405"/>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321E7551"/>
    <w:multiLevelType w:val="multilevel"/>
    <w:tmpl w:val="321E7551"/>
    <w:lvl w:ilvl="0" w:tentative="0">
      <w:start w:val="1"/>
      <w:numFmt w:val="decimal"/>
      <w:lvlText w:val="[%1]"/>
      <w:lvlJc w:val="left"/>
      <w:pPr>
        <w:ind w:left="420" w:hanging="420"/>
      </w:pPr>
      <w:rPr>
        <w:rFonts w:hint="default" w:ascii="Times New Roman" w:hAnsi="Times New Roman"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BDF65F6"/>
    <w:multiLevelType w:val="multilevel"/>
    <w:tmpl w:val="4BDF65F6"/>
    <w:lvl w:ilvl="0" w:tentative="0">
      <w:start w:val="1"/>
      <w:numFmt w:val="decimal"/>
      <w:pStyle w:val="5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6B1D3861"/>
    <w:multiLevelType w:val="multilevel"/>
    <w:tmpl w:val="6B1D386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Yu Gothic"/>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Yu Gothic"/>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Yu Gothic"/>
      </w:rPr>
    </w:lvl>
    <w:lvl w:ilvl="8" w:tentative="0">
      <w:start w:val="1"/>
      <w:numFmt w:val="bullet"/>
      <w:lvlText w:val=""/>
      <w:lvlJc w:val="left"/>
      <w:pPr>
        <w:ind w:left="6480" w:hanging="360"/>
      </w:pPr>
      <w:rPr>
        <w:rFonts w:hint="default" w:ascii="Wingdings" w:hAnsi="Wingdings"/>
      </w:rPr>
    </w:lvl>
  </w:abstractNum>
  <w:abstractNum w:abstractNumId="6">
    <w:nsid w:val="77BE68B6"/>
    <w:multiLevelType w:val="singleLevel"/>
    <w:tmpl w:val="77BE68B6"/>
    <w:lvl w:ilvl="0" w:tentative="0">
      <w:start w:val="1"/>
      <w:numFmt w:val="bullet"/>
      <w:lvlText w:val="-"/>
      <w:lvlJc w:val="left"/>
      <w:pPr>
        <w:tabs>
          <w:tab w:val="left" w:pos="420"/>
        </w:tabs>
        <w:ind w:left="840" w:leftChars="0" w:hanging="420" w:firstLineChars="0"/>
      </w:pPr>
      <w:rPr>
        <w:rFonts w:hint="default" w:ascii="Symbol" w:hAnsi="Symbol" w:cs="仿宋"/>
      </w:rPr>
    </w:lvl>
  </w:abstractNum>
  <w:abstractNum w:abstractNumId="7">
    <w:nsid w:val="798399A1"/>
    <w:multiLevelType w:val="multilevel"/>
    <w:tmpl w:val="798399A1"/>
    <w:lvl w:ilvl="0" w:tentative="0">
      <w:start w:val="2"/>
      <w:numFmt w:val="decimal"/>
      <w:pStyle w:val="2"/>
      <w:lvlText w:val="%1"/>
      <w:lvlJc w:val="left"/>
      <w:pPr>
        <w:tabs>
          <w:tab w:val="left" w:pos="432"/>
        </w:tabs>
        <w:ind w:left="432" w:hanging="432"/>
      </w:pPr>
      <w:rPr>
        <w:rFonts w:hint="default" w:ascii="Arial" w:hAnsi="Arial" w:eastAsia="宋体" w:cs="Arial"/>
        <w:i w:val="0"/>
        <w:lang w:val="en-US"/>
      </w:rPr>
    </w:lvl>
    <w:lvl w:ilvl="1" w:tentative="0">
      <w:start w:val="1"/>
      <w:numFmt w:val="decimal"/>
      <w:pStyle w:val="3"/>
      <w:lvlText w:val="%1.%2"/>
      <w:lvlJc w:val="left"/>
      <w:pPr>
        <w:tabs>
          <w:tab w:val="left" w:pos="576"/>
        </w:tabs>
        <w:ind w:left="576" w:hanging="576"/>
      </w:pPr>
      <w:rPr>
        <w:rFonts w:hint="default" w:ascii="Times New Roman" w:hAnsi="Times New Roman" w:eastAsia="宋体" w:cs="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num w:numId="1">
    <w:abstractNumId w:val="7"/>
  </w:num>
  <w:num w:numId="2">
    <w:abstractNumId w:val="4"/>
  </w:num>
  <w:num w:numId="3">
    <w:abstractNumId w:val="1"/>
  </w:num>
  <w:num w:numId="4">
    <w:abstractNumId w:val="2"/>
  </w:num>
  <w:num w:numId="5">
    <w:abstractNumId w:val="5"/>
  </w:num>
  <w:num w:numId="6">
    <w:abstractNumId w:val="0"/>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bordersDoNotSurroundHeader w:val="1"/>
  <w:bordersDoNotSurroundFooter w:val="1"/>
  <w:documentProtection w:enforcement="0"/>
  <w:defaultTabStop w:val="425"/>
  <w:doNotHyphenateCaps/>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compressPunctuation"/>
  <w:footnotePr>
    <w:numRestart w:val="eachSect"/>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D04"/>
    <w:rsid w:val="00000DB2"/>
    <w:rsid w:val="00000FF2"/>
    <w:rsid w:val="000019A8"/>
    <w:rsid w:val="00001CB2"/>
    <w:rsid w:val="000020F6"/>
    <w:rsid w:val="00002326"/>
    <w:rsid w:val="00002893"/>
    <w:rsid w:val="000033A3"/>
    <w:rsid w:val="00003435"/>
    <w:rsid w:val="00003513"/>
    <w:rsid w:val="00003605"/>
    <w:rsid w:val="0000399C"/>
    <w:rsid w:val="00003C56"/>
    <w:rsid w:val="00003EC2"/>
    <w:rsid w:val="000040A9"/>
    <w:rsid w:val="0000458E"/>
    <w:rsid w:val="000045ED"/>
    <w:rsid w:val="00004D4D"/>
    <w:rsid w:val="00004E70"/>
    <w:rsid w:val="000053F6"/>
    <w:rsid w:val="000072B6"/>
    <w:rsid w:val="00007813"/>
    <w:rsid w:val="000109E6"/>
    <w:rsid w:val="00010C93"/>
    <w:rsid w:val="00010E1B"/>
    <w:rsid w:val="00011F67"/>
    <w:rsid w:val="00012862"/>
    <w:rsid w:val="000128E6"/>
    <w:rsid w:val="0001313F"/>
    <w:rsid w:val="000133E2"/>
    <w:rsid w:val="0001447A"/>
    <w:rsid w:val="00014481"/>
    <w:rsid w:val="00014624"/>
    <w:rsid w:val="00015EFB"/>
    <w:rsid w:val="000165E2"/>
    <w:rsid w:val="000172BE"/>
    <w:rsid w:val="000175DB"/>
    <w:rsid w:val="00017D8A"/>
    <w:rsid w:val="00020573"/>
    <w:rsid w:val="00020CCE"/>
    <w:rsid w:val="00020E4E"/>
    <w:rsid w:val="000215C2"/>
    <w:rsid w:val="00022427"/>
    <w:rsid w:val="00023388"/>
    <w:rsid w:val="00023423"/>
    <w:rsid w:val="00023425"/>
    <w:rsid w:val="00023A72"/>
    <w:rsid w:val="000241BE"/>
    <w:rsid w:val="00024248"/>
    <w:rsid w:val="000242F2"/>
    <w:rsid w:val="00026B8D"/>
    <w:rsid w:val="00026D4B"/>
    <w:rsid w:val="00027483"/>
    <w:rsid w:val="000275C6"/>
    <w:rsid w:val="000275D7"/>
    <w:rsid w:val="00027AD6"/>
    <w:rsid w:val="00027DF7"/>
    <w:rsid w:val="0003024C"/>
    <w:rsid w:val="00031ADB"/>
    <w:rsid w:val="00031FA4"/>
    <w:rsid w:val="00032056"/>
    <w:rsid w:val="000326D7"/>
    <w:rsid w:val="000328CA"/>
    <w:rsid w:val="00032E40"/>
    <w:rsid w:val="0003376B"/>
    <w:rsid w:val="00034676"/>
    <w:rsid w:val="000346E6"/>
    <w:rsid w:val="000352B3"/>
    <w:rsid w:val="000355F6"/>
    <w:rsid w:val="0004023E"/>
    <w:rsid w:val="0004024B"/>
    <w:rsid w:val="00040AAE"/>
    <w:rsid w:val="00040E8C"/>
    <w:rsid w:val="0004109E"/>
    <w:rsid w:val="000415F3"/>
    <w:rsid w:val="00041C57"/>
    <w:rsid w:val="00042044"/>
    <w:rsid w:val="000426D5"/>
    <w:rsid w:val="00042CF8"/>
    <w:rsid w:val="000434B7"/>
    <w:rsid w:val="000435E4"/>
    <w:rsid w:val="00044118"/>
    <w:rsid w:val="00044D07"/>
    <w:rsid w:val="000453AD"/>
    <w:rsid w:val="0004585C"/>
    <w:rsid w:val="00045861"/>
    <w:rsid w:val="00046428"/>
    <w:rsid w:val="00046602"/>
    <w:rsid w:val="0004665D"/>
    <w:rsid w:val="00046796"/>
    <w:rsid w:val="000467FD"/>
    <w:rsid w:val="0004694D"/>
    <w:rsid w:val="00046AAF"/>
    <w:rsid w:val="00047225"/>
    <w:rsid w:val="00047587"/>
    <w:rsid w:val="00047E60"/>
    <w:rsid w:val="00050532"/>
    <w:rsid w:val="00050732"/>
    <w:rsid w:val="0005089F"/>
    <w:rsid w:val="00051704"/>
    <w:rsid w:val="00051C80"/>
    <w:rsid w:val="000524DC"/>
    <w:rsid w:val="00052AD2"/>
    <w:rsid w:val="000530DF"/>
    <w:rsid w:val="00053226"/>
    <w:rsid w:val="0005410C"/>
    <w:rsid w:val="00054E0C"/>
    <w:rsid w:val="0005541D"/>
    <w:rsid w:val="00055C1F"/>
    <w:rsid w:val="00055E1D"/>
    <w:rsid w:val="0005636D"/>
    <w:rsid w:val="000565C8"/>
    <w:rsid w:val="00057DC8"/>
    <w:rsid w:val="00061276"/>
    <w:rsid w:val="000612E1"/>
    <w:rsid w:val="000614FE"/>
    <w:rsid w:val="00061855"/>
    <w:rsid w:val="00062CB6"/>
    <w:rsid w:val="00063FB7"/>
    <w:rsid w:val="00064473"/>
    <w:rsid w:val="00065D38"/>
    <w:rsid w:val="00065F35"/>
    <w:rsid w:val="000663A4"/>
    <w:rsid w:val="00067928"/>
    <w:rsid w:val="00067DD1"/>
    <w:rsid w:val="00070447"/>
    <w:rsid w:val="000706E7"/>
    <w:rsid w:val="0007076F"/>
    <w:rsid w:val="00070EF8"/>
    <w:rsid w:val="00070F40"/>
    <w:rsid w:val="00071192"/>
    <w:rsid w:val="000713A7"/>
    <w:rsid w:val="000717A4"/>
    <w:rsid w:val="00071CBF"/>
    <w:rsid w:val="00072157"/>
    <w:rsid w:val="00072A80"/>
    <w:rsid w:val="000731A0"/>
    <w:rsid w:val="000736C1"/>
    <w:rsid w:val="00073797"/>
    <w:rsid w:val="0007392F"/>
    <w:rsid w:val="00073A9A"/>
    <w:rsid w:val="00073DEC"/>
    <w:rsid w:val="000745AA"/>
    <w:rsid w:val="00074B06"/>
    <w:rsid w:val="00074B19"/>
    <w:rsid w:val="00074E86"/>
    <w:rsid w:val="00075DCE"/>
    <w:rsid w:val="00076097"/>
    <w:rsid w:val="00076321"/>
    <w:rsid w:val="00076541"/>
    <w:rsid w:val="000772F4"/>
    <w:rsid w:val="000776EB"/>
    <w:rsid w:val="000777B9"/>
    <w:rsid w:val="00077FF7"/>
    <w:rsid w:val="00081020"/>
    <w:rsid w:val="00081974"/>
    <w:rsid w:val="00081EE2"/>
    <w:rsid w:val="000820D0"/>
    <w:rsid w:val="000823B0"/>
    <w:rsid w:val="00082E86"/>
    <w:rsid w:val="00083095"/>
    <w:rsid w:val="0008335B"/>
    <w:rsid w:val="00083379"/>
    <w:rsid w:val="00083587"/>
    <w:rsid w:val="000836E4"/>
    <w:rsid w:val="00083838"/>
    <w:rsid w:val="00083B6A"/>
    <w:rsid w:val="000841F3"/>
    <w:rsid w:val="00084876"/>
    <w:rsid w:val="00085E04"/>
    <w:rsid w:val="00085E67"/>
    <w:rsid w:val="00086433"/>
    <w:rsid w:val="00086800"/>
    <w:rsid w:val="000869F8"/>
    <w:rsid w:val="00087465"/>
    <w:rsid w:val="00087479"/>
    <w:rsid w:val="00087913"/>
    <w:rsid w:val="00090226"/>
    <w:rsid w:val="000902DC"/>
    <w:rsid w:val="00090C6D"/>
    <w:rsid w:val="000911AE"/>
    <w:rsid w:val="00091493"/>
    <w:rsid w:val="00092011"/>
    <w:rsid w:val="00093697"/>
    <w:rsid w:val="00093D42"/>
    <w:rsid w:val="00093DD0"/>
    <w:rsid w:val="00094A16"/>
    <w:rsid w:val="00094DE6"/>
    <w:rsid w:val="00095D1D"/>
    <w:rsid w:val="00095D2F"/>
    <w:rsid w:val="00096356"/>
    <w:rsid w:val="00096CE3"/>
    <w:rsid w:val="00097C99"/>
    <w:rsid w:val="00097E13"/>
    <w:rsid w:val="000A07AC"/>
    <w:rsid w:val="000A0F14"/>
    <w:rsid w:val="000A1441"/>
    <w:rsid w:val="000A164E"/>
    <w:rsid w:val="000A1A06"/>
    <w:rsid w:val="000A1B60"/>
    <w:rsid w:val="000A1D3E"/>
    <w:rsid w:val="000A21B4"/>
    <w:rsid w:val="000A2CC7"/>
    <w:rsid w:val="000A2ED6"/>
    <w:rsid w:val="000A4205"/>
    <w:rsid w:val="000A4A19"/>
    <w:rsid w:val="000A4ABB"/>
    <w:rsid w:val="000A553D"/>
    <w:rsid w:val="000A5E7C"/>
    <w:rsid w:val="000A6351"/>
    <w:rsid w:val="000A63B3"/>
    <w:rsid w:val="000A63D6"/>
    <w:rsid w:val="000A6C56"/>
    <w:rsid w:val="000A7B38"/>
    <w:rsid w:val="000B0343"/>
    <w:rsid w:val="000B0ABA"/>
    <w:rsid w:val="000B163D"/>
    <w:rsid w:val="000B2985"/>
    <w:rsid w:val="000B2C49"/>
    <w:rsid w:val="000B2C88"/>
    <w:rsid w:val="000B3342"/>
    <w:rsid w:val="000B3D50"/>
    <w:rsid w:val="000B4A42"/>
    <w:rsid w:val="000B5053"/>
    <w:rsid w:val="000B51FA"/>
    <w:rsid w:val="000B5905"/>
    <w:rsid w:val="000B5975"/>
    <w:rsid w:val="000B5B93"/>
    <w:rsid w:val="000B6E2C"/>
    <w:rsid w:val="000B6F0A"/>
    <w:rsid w:val="000B76C5"/>
    <w:rsid w:val="000B7A10"/>
    <w:rsid w:val="000C0EFB"/>
    <w:rsid w:val="000C0F27"/>
    <w:rsid w:val="000C115D"/>
    <w:rsid w:val="000C1535"/>
    <w:rsid w:val="000C1DE9"/>
    <w:rsid w:val="000C252B"/>
    <w:rsid w:val="000C2A7B"/>
    <w:rsid w:val="000C2E57"/>
    <w:rsid w:val="000C2FBD"/>
    <w:rsid w:val="000C3215"/>
    <w:rsid w:val="000C3B0C"/>
    <w:rsid w:val="000C422D"/>
    <w:rsid w:val="000C4852"/>
    <w:rsid w:val="000C4BD4"/>
    <w:rsid w:val="000C5702"/>
    <w:rsid w:val="000C5DE5"/>
    <w:rsid w:val="000C5F91"/>
    <w:rsid w:val="000C6025"/>
    <w:rsid w:val="000C6DD4"/>
    <w:rsid w:val="000C7F34"/>
    <w:rsid w:val="000D00B7"/>
    <w:rsid w:val="000D01AF"/>
    <w:rsid w:val="000D0565"/>
    <w:rsid w:val="000D0B1E"/>
    <w:rsid w:val="000D0E4E"/>
    <w:rsid w:val="000D113C"/>
    <w:rsid w:val="000D12D1"/>
    <w:rsid w:val="000D159A"/>
    <w:rsid w:val="000D1796"/>
    <w:rsid w:val="000D22CC"/>
    <w:rsid w:val="000D259D"/>
    <w:rsid w:val="000D36AE"/>
    <w:rsid w:val="000D38A1"/>
    <w:rsid w:val="000D4525"/>
    <w:rsid w:val="000D4C4E"/>
    <w:rsid w:val="000D5077"/>
    <w:rsid w:val="000D52AD"/>
    <w:rsid w:val="000D5362"/>
    <w:rsid w:val="000D5444"/>
    <w:rsid w:val="000D57F8"/>
    <w:rsid w:val="000D5851"/>
    <w:rsid w:val="000D5A7D"/>
    <w:rsid w:val="000D5AA7"/>
    <w:rsid w:val="000D5C60"/>
    <w:rsid w:val="000D5FE3"/>
    <w:rsid w:val="000D6848"/>
    <w:rsid w:val="000D6F41"/>
    <w:rsid w:val="000D71E2"/>
    <w:rsid w:val="000D73A5"/>
    <w:rsid w:val="000D73D7"/>
    <w:rsid w:val="000D76AC"/>
    <w:rsid w:val="000E023D"/>
    <w:rsid w:val="000E07D6"/>
    <w:rsid w:val="000E12BA"/>
    <w:rsid w:val="000E1380"/>
    <w:rsid w:val="000E16D0"/>
    <w:rsid w:val="000E1702"/>
    <w:rsid w:val="000E18DF"/>
    <w:rsid w:val="000E267C"/>
    <w:rsid w:val="000E3162"/>
    <w:rsid w:val="000E4127"/>
    <w:rsid w:val="000E45F7"/>
    <w:rsid w:val="000E4680"/>
    <w:rsid w:val="000E4CDE"/>
    <w:rsid w:val="000E59A0"/>
    <w:rsid w:val="000E6442"/>
    <w:rsid w:val="000E7A84"/>
    <w:rsid w:val="000F1207"/>
    <w:rsid w:val="000F15BC"/>
    <w:rsid w:val="000F180A"/>
    <w:rsid w:val="000F1C92"/>
    <w:rsid w:val="000F25EE"/>
    <w:rsid w:val="000F2B51"/>
    <w:rsid w:val="000F2EEE"/>
    <w:rsid w:val="000F3697"/>
    <w:rsid w:val="000F687D"/>
    <w:rsid w:val="000F6D1F"/>
    <w:rsid w:val="000F71E3"/>
    <w:rsid w:val="000F7DE5"/>
    <w:rsid w:val="000F7F58"/>
    <w:rsid w:val="00100128"/>
    <w:rsid w:val="001004B8"/>
    <w:rsid w:val="00100BB5"/>
    <w:rsid w:val="00100DDB"/>
    <w:rsid w:val="00100FF3"/>
    <w:rsid w:val="0010117D"/>
    <w:rsid w:val="001026CA"/>
    <w:rsid w:val="00102D4D"/>
    <w:rsid w:val="00103BD6"/>
    <w:rsid w:val="00103EB8"/>
    <w:rsid w:val="001043C2"/>
    <w:rsid w:val="001043E1"/>
    <w:rsid w:val="00104FFC"/>
    <w:rsid w:val="0010505A"/>
    <w:rsid w:val="001054AB"/>
    <w:rsid w:val="001058EC"/>
    <w:rsid w:val="001058ED"/>
    <w:rsid w:val="00105CC7"/>
    <w:rsid w:val="00106154"/>
    <w:rsid w:val="00106916"/>
    <w:rsid w:val="00106ED8"/>
    <w:rsid w:val="0010759F"/>
    <w:rsid w:val="00107779"/>
    <w:rsid w:val="001078C2"/>
    <w:rsid w:val="00107E1C"/>
    <w:rsid w:val="00110243"/>
    <w:rsid w:val="001106AD"/>
    <w:rsid w:val="001112C4"/>
    <w:rsid w:val="00111444"/>
    <w:rsid w:val="00111723"/>
    <w:rsid w:val="00111C95"/>
    <w:rsid w:val="00111D07"/>
    <w:rsid w:val="00112341"/>
    <w:rsid w:val="001129B5"/>
    <w:rsid w:val="001141E3"/>
    <w:rsid w:val="001144DF"/>
    <w:rsid w:val="00114983"/>
    <w:rsid w:val="0011526B"/>
    <w:rsid w:val="00115394"/>
    <w:rsid w:val="0011557B"/>
    <w:rsid w:val="0011625B"/>
    <w:rsid w:val="00116764"/>
    <w:rsid w:val="00117C85"/>
    <w:rsid w:val="00120386"/>
    <w:rsid w:val="00120B13"/>
    <w:rsid w:val="00121D7E"/>
    <w:rsid w:val="00124D84"/>
    <w:rsid w:val="00124E47"/>
    <w:rsid w:val="001250DD"/>
    <w:rsid w:val="00125733"/>
    <w:rsid w:val="00125A01"/>
    <w:rsid w:val="001263AA"/>
    <w:rsid w:val="001270DD"/>
    <w:rsid w:val="00130779"/>
    <w:rsid w:val="001307A1"/>
    <w:rsid w:val="00130F08"/>
    <w:rsid w:val="00131825"/>
    <w:rsid w:val="00131DB5"/>
    <w:rsid w:val="00131F1F"/>
    <w:rsid w:val="001321D3"/>
    <w:rsid w:val="00132403"/>
    <w:rsid w:val="00133599"/>
    <w:rsid w:val="00133A76"/>
    <w:rsid w:val="00133BF7"/>
    <w:rsid w:val="00134B88"/>
    <w:rsid w:val="00136A23"/>
    <w:rsid w:val="00136B99"/>
    <w:rsid w:val="0014063E"/>
    <w:rsid w:val="0014087D"/>
    <w:rsid w:val="00140F74"/>
    <w:rsid w:val="00141191"/>
    <w:rsid w:val="0014159C"/>
    <w:rsid w:val="00141BF0"/>
    <w:rsid w:val="00142665"/>
    <w:rsid w:val="0014384A"/>
    <w:rsid w:val="00143C5D"/>
    <w:rsid w:val="00143CD2"/>
    <w:rsid w:val="00144487"/>
    <w:rsid w:val="0014450F"/>
    <w:rsid w:val="00144D8F"/>
    <w:rsid w:val="00145357"/>
    <w:rsid w:val="00145C74"/>
    <w:rsid w:val="001462E9"/>
    <w:rsid w:val="001466A3"/>
    <w:rsid w:val="00146A1A"/>
    <w:rsid w:val="00146E32"/>
    <w:rsid w:val="00146F20"/>
    <w:rsid w:val="0015021F"/>
    <w:rsid w:val="0015056F"/>
    <w:rsid w:val="00150A9E"/>
    <w:rsid w:val="00150F39"/>
    <w:rsid w:val="00151619"/>
    <w:rsid w:val="00151FE5"/>
    <w:rsid w:val="0015282A"/>
    <w:rsid w:val="00152835"/>
    <w:rsid w:val="00153421"/>
    <w:rsid w:val="0015440D"/>
    <w:rsid w:val="00154C0C"/>
    <w:rsid w:val="00154C44"/>
    <w:rsid w:val="00155391"/>
    <w:rsid w:val="001556FF"/>
    <w:rsid w:val="001559FA"/>
    <w:rsid w:val="00156374"/>
    <w:rsid w:val="001577D8"/>
    <w:rsid w:val="00157FC3"/>
    <w:rsid w:val="00160739"/>
    <w:rsid w:val="001615F2"/>
    <w:rsid w:val="00161B87"/>
    <w:rsid w:val="0016271E"/>
    <w:rsid w:val="00162B53"/>
    <w:rsid w:val="00162C70"/>
    <w:rsid w:val="00162D7A"/>
    <w:rsid w:val="00163B59"/>
    <w:rsid w:val="00164DAB"/>
    <w:rsid w:val="00165BBB"/>
    <w:rsid w:val="00165CD8"/>
    <w:rsid w:val="0016613F"/>
    <w:rsid w:val="00166215"/>
    <w:rsid w:val="00166591"/>
    <w:rsid w:val="00166A15"/>
    <w:rsid w:val="001676E1"/>
    <w:rsid w:val="001704E4"/>
    <w:rsid w:val="00170D27"/>
    <w:rsid w:val="00171143"/>
    <w:rsid w:val="00171A8F"/>
    <w:rsid w:val="00171ECB"/>
    <w:rsid w:val="00172379"/>
    <w:rsid w:val="0017270F"/>
    <w:rsid w:val="00172864"/>
    <w:rsid w:val="00172B53"/>
    <w:rsid w:val="00172B82"/>
    <w:rsid w:val="00172EFA"/>
    <w:rsid w:val="00173608"/>
    <w:rsid w:val="001745EC"/>
    <w:rsid w:val="001747B7"/>
    <w:rsid w:val="00175218"/>
    <w:rsid w:val="00175256"/>
    <w:rsid w:val="00175382"/>
    <w:rsid w:val="00175C30"/>
    <w:rsid w:val="00176E40"/>
    <w:rsid w:val="00177069"/>
    <w:rsid w:val="001774F0"/>
    <w:rsid w:val="00177FC1"/>
    <w:rsid w:val="00180162"/>
    <w:rsid w:val="001815A2"/>
    <w:rsid w:val="001816FC"/>
    <w:rsid w:val="00181FC1"/>
    <w:rsid w:val="001828F6"/>
    <w:rsid w:val="00182C9F"/>
    <w:rsid w:val="00183034"/>
    <w:rsid w:val="001830F7"/>
    <w:rsid w:val="00183EE6"/>
    <w:rsid w:val="00183F28"/>
    <w:rsid w:val="0018588A"/>
    <w:rsid w:val="00186D5F"/>
    <w:rsid w:val="00187252"/>
    <w:rsid w:val="00187E97"/>
    <w:rsid w:val="001900C1"/>
    <w:rsid w:val="00190EA5"/>
    <w:rsid w:val="00191865"/>
    <w:rsid w:val="001919D9"/>
    <w:rsid w:val="00191C91"/>
    <w:rsid w:val="00192DD9"/>
    <w:rsid w:val="00192F9A"/>
    <w:rsid w:val="00193FAE"/>
    <w:rsid w:val="00194339"/>
    <w:rsid w:val="00194848"/>
    <w:rsid w:val="00195248"/>
    <w:rsid w:val="001958EA"/>
    <w:rsid w:val="00195E0E"/>
    <w:rsid w:val="00196F8B"/>
    <w:rsid w:val="001A092D"/>
    <w:rsid w:val="001A0A8B"/>
    <w:rsid w:val="001A0EF1"/>
    <w:rsid w:val="001A1070"/>
    <w:rsid w:val="001A11E2"/>
    <w:rsid w:val="001A1286"/>
    <w:rsid w:val="001A180D"/>
    <w:rsid w:val="001A1BAC"/>
    <w:rsid w:val="001A23CE"/>
    <w:rsid w:val="001A2C89"/>
    <w:rsid w:val="001A4111"/>
    <w:rsid w:val="001A4979"/>
    <w:rsid w:val="001A4DDE"/>
    <w:rsid w:val="001A56CD"/>
    <w:rsid w:val="001A5765"/>
    <w:rsid w:val="001A622A"/>
    <w:rsid w:val="001A673E"/>
    <w:rsid w:val="001A7763"/>
    <w:rsid w:val="001A78A0"/>
    <w:rsid w:val="001A7F06"/>
    <w:rsid w:val="001B06C9"/>
    <w:rsid w:val="001B0FAB"/>
    <w:rsid w:val="001B1223"/>
    <w:rsid w:val="001B319B"/>
    <w:rsid w:val="001B3964"/>
    <w:rsid w:val="001B4452"/>
    <w:rsid w:val="001B466C"/>
    <w:rsid w:val="001B4BBF"/>
    <w:rsid w:val="001B4F34"/>
    <w:rsid w:val="001B52EC"/>
    <w:rsid w:val="001B554A"/>
    <w:rsid w:val="001B56EC"/>
    <w:rsid w:val="001B6564"/>
    <w:rsid w:val="001B68AF"/>
    <w:rsid w:val="001B691A"/>
    <w:rsid w:val="001C02D8"/>
    <w:rsid w:val="001C04E3"/>
    <w:rsid w:val="001C1652"/>
    <w:rsid w:val="001C2378"/>
    <w:rsid w:val="001C3A04"/>
    <w:rsid w:val="001C3E43"/>
    <w:rsid w:val="001C3EE9"/>
    <w:rsid w:val="001C3FA4"/>
    <w:rsid w:val="001C40F9"/>
    <w:rsid w:val="001C458B"/>
    <w:rsid w:val="001C4A11"/>
    <w:rsid w:val="001C4E8A"/>
    <w:rsid w:val="001C5D4F"/>
    <w:rsid w:val="001C6222"/>
    <w:rsid w:val="001C64C0"/>
    <w:rsid w:val="001C69DA"/>
    <w:rsid w:val="001C6D83"/>
    <w:rsid w:val="001C6F06"/>
    <w:rsid w:val="001D0568"/>
    <w:rsid w:val="001D0646"/>
    <w:rsid w:val="001D1AF5"/>
    <w:rsid w:val="001D2360"/>
    <w:rsid w:val="001D2950"/>
    <w:rsid w:val="001D3109"/>
    <w:rsid w:val="001D332E"/>
    <w:rsid w:val="001D5033"/>
    <w:rsid w:val="001D5C4E"/>
    <w:rsid w:val="001D5C88"/>
    <w:rsid w:val="001D6567"/>
    <w:rsid w:val="001D695C"/>
    <w:rsid w:val="001D6A58"/>
    <w:rsid w:val="001D6FD9"/>
    <w:rsid w:val="001D780E"/>
    <w:rsid w:val="001E05C3"/>
    <w:rsid w:val="001E0AD3"/>
    <w:rsid w:val="001E1075"/>
    <w:rsid w:val="001E25D0"/>
    <w:rsid w:val="001E36E4"/>
    <w:rsid w:val="001E379D"/>
    <w:rsid w:val="001E390F"/>
    <w:rsid w:val="001E3A3C"/>
    <w:rsid w:val="001E569E"/>
    <w:rsid w:val="001E5C23"/>
    <w:rsid w:val="001E6B95"/>
    <w:rsid w:val="001E7504"/>
    <w:rsid w:val="001E76DF"/>
    <w:rsid w:val="001E7D9B"/>
    <w:rsid w:val="001F1308"/>
    <w:rsid w:val="001F1525"/>
    <w:rsid w:val="001F1DCE"/>
    <w:rsid w:val="001F1E87"/>
    <w:rsid w:val="001F1EB6"/>
    <w:rsid w:val="001F2E23"/>
    <w:rsid w:val="001F30D5"/>
    <w:rsid w:val="001F341F"/>
    <w:rsid w:val="001F3911"/>
    <w:rsid w:val="001F3F1A"/>
    <w:rsid w:val="001F4CBD"/>
    <w:rsid w:val="001F5545"/>
    <w:rsid w:val="001F5777"/>
    <w:rsid w:val="001F5937"/>
    <w:rsid w:val="001F59E3"/>
    <w:rsid w:val="001F59ED"/>
    <w:rsid w:val="001F5E88"/>
    <w:rsid w:val="001F6740"/>
    <w:rsid w:val="001F7121"/>
    <w:rsid w:val="001F78B5"/>
    <w:rsid w:val="001F79A6"/>
    <w:rsid w:val="001F7F39"/>
    <w:rsid w:val="00200D2C"/>
    <w:rsid w:val="00200F90"/>
    <w:rsid w:val="002016B0"/>
    <w:rsid w:val="002016C6"/>
    <w:rsid w:val="002019D8"/>
    <w:rsid w:val="00201DEE"/>
    <w:rsid w:val="00201EC7"/>
    <w:rsid w:val="0020248A"/>
    <w:rsid w:val="0020349A"/>
    <w:rsid w:val="002034B4"/>
    <w:rsid w:val="002035E3"/>
    <w:rsid w:val="00203C76"/>
    <w:rsid w:val="00204032"/>
    <w:rsid w:val="00204AC5"/>
    <w:rsid w:val="00204BAD"/>
    <w:rsid w:val="00204D60"/>
    <w:rsid w:val="00205053"/>
    <w:rsid w:val="00205627"/>
    <w:rsid w:val="002056D0"/>
    <w:rsid w:val="00207065"/>
    <w:rsid w:val="002071D9"/>
    <w:rsid w:val="00207983"/>
    <w:rsid w:val="00210860"/>
    <w:rsid w:val="00210B6A"/>
    <w:rsid w:val="00211811"/>
    <w:rsid w:val="00211BB8"/>
    <w:rsid w:val="00212694"/>
    <w:rsid w:val="00212CB6"/>
    <w:rsid w:val="00212E37"/>
    <w:rsid w:val="002140FF"/>
    <w:rsid w:val="00214663"/>
    <w:rsid w:val="00214FD8"/>
    <w:rsid w:val="00215ABD"/>
    <w:rsid w:val="00215B6E"/>
    <w:rsid w:val="002170F0"/>
    <w:rsid w:val="00217ACD"/>
    <w:rsid w:val="002202DB"/>
    <w:rsid w:val="00220894"/>
    <w:rsid w:val="00220B36"/>
    <w:rsid w:val="00222107"/>
    <w:rsid w:val="002222C7"/>
    <w:rsid w:val="00222B5E"/>
    <w:rsid w:val="002243FD"/>
    <w:rsid w:val="002246F3"/>
    <w:rsid w:val="00224952"/>
    <w:rsid w:val="00224DD2"/>
    <w:rsid w:val="00225A6A"/>
    <w:rsid w:val="00225AC7"/>
    <w:rsid w:val="00225ACC"/>
    <w:rsid w:val="00230857"/>
    <w:rsid w:val="002309AA"/>
    <w:rsid w:val="002313EE"/>
    <w:rsid w:val="00231C25"/>
    <w:rsid w:val="00231C6F"/>
    <w:rsid w:val="00232313"/>
    <w:rsid w:val="00232A90"/>
    <w:rsid w:val="002335F8"/>
    <w:rsid w:val="00233CCE"/>
    <w:rsid w:val="00233E7C"/>
    <w:rsid w:val="00234151"/>
    <w:rsid w:val="00234F8C"/>
    <w:rsid w:val="00235542"/>
    <w:rsid w:val="00236960"/>
    <w:rsid w:val="002369B0"/>
    <w:rsid w:val="00236AD8"/>
    <w:rsid w:val="00240025"/>
    <w:rsid w:val="002401F5"/>
    <w:rsid w:val="00240477"/>
    <w:rsid w:val="0024084D"/>
    <w:rsid w:val="00240E54"/>
    <w:rsid w:val="00242BBD"/>
    <w:rsid w:val="00244F30"/>
    <w:rsid w:val="002451C5"/>
    <w:rsid w:val="0024553E"/>
    <w:rsid w:val="00245826"/>
    <w:rsid w:val="00245EDB"/>
    <w:rsid w:val="00245F1F"/>
    <w:rsid w:val="0024663B"/>
    <w:rsid w:val="002470D0"/>
    <w:rsid w:val="00247103"/>
    <w:rsid w:val="0024751D"/>
    <w:rsid w:val="00250067"/>
    <w:rsid w:val="0025070C"/>
    <w:rsid w:val="00250E04"/>
    <w:rsid w:val="0025100B"/>
    <w:rsid w:val="002516DE"/>
    <w:rsid w:val="00251F81"/>
    <w:rsid w:val="0025298D"/>
    <w:rsid w:val="00252AF0"/>
    <w:rsid w:val="00252BE0"/>
    <w:rsid w:val="00252E43"/>
    <w:rsid w:val="00253588"/>
    <w:rsid w:val="00253D6B"/>
    <w:rsid w:val="00253F12"/>
    <w:rsid w:val="002546F4"/>
    <w:rsid w:val="00254B0C"/>
    <w:rsid w:val="002551D0"/>
    <w:rsid w:val="00255374"/>
    <w:rsid w:val="002555E6"/>
    <w:rsid w:val="00257BF4"/>
    <w:rsid w:val="00260003"/>
    <w:rsid w:val="0026035D"/>
    <w:rsid w:val="002606D6"/>
    <w:rsid w:val="002607C9"/>
    <w:rsid w:val="00260E8B"/>
    <w:rsid w:val="00261C98"/>
    <w:rsid w:val="00261FA7"/>
    <w:rsid w:val="0026248E"/>
    <w:rsid w:val="00262914"/>
    <w:rsid w:val="002647BF"/>
    <w:rsid w:val="002647D5"/>
    <w:rsid w:val="00265032"/>
    <w:rsid w:val="002651FB"/>
    <w:rsid w:val="0026538C"/>
    <w:rsid w:val="0026560A"/>
    <w:rsid w:val="00265781"/>
    <w:rsid w:val="00266B13"/>
    <w:rsid w:val="00267D55"/>
    <w:rsid w:val="00270728"/>
    <w:rsid w:val="002708F4"/>
    <w:rsid w:val="00270D42"/>
    <w:rsid w:val="0027195D"/>
    <w:rsid w:val="00271CF4"/>
    <w:rsid w:val="00271F8B"/>
    <w:rsid w:val="0027227E"/>
    <w:rsid w:val="0027267C"/>
    <w:rsid w:val="00272B03"/>
    <w:rsid w:val="002733E2"/>
    <w:rsid w:val="00273724"/>
    <w:rsid w:val="00274957"/>
    <w:rsid w:val="002750B1"/>
    <w:rsid w:val="00275579"/>
    <w:rsid w:val="002761E8"/>
    <w:rsid w:val="002766B2"/>
    <w:rsid w:val="00276A35"/>
    <w:rsid w:val="00277835"/>
    <w:rsid w:val="00280AB1"/>
    <w:rsid w:val="00281016"/>
    <w:rsid w:val="002840F1"/>
    <w:rsid w:val="00284BAE"/>
    <w:rsid w:val="0028509C"/>
    <w:rsid w:val="002850F8"/>
    <w:rsid w:val="002852DB"/>
    <w:rsid w:val="002859AF"/>
    <w:rsid w:val="0028606A"/>
    <w:rsid w:val="00286AE7"/>
    <w:rsid w:val="00286E8D"/>
    <w:rsid w:val="00287243"/>
    <w:rsid w:val="00287684"/>
    <w:rsid w:val="00287B20"/>
    <w:rsid w:val="00287F96"/>
    <w:rsid w:val="00290389"/>
    <w:rsid w:val="00290647"/>
    <w:rsid w:val="00290A8E"/>
    <w:rsid w:val="00291385"/>
    <w:rsid w:val="00291422"/>
    <w:rsid w:val="0029237F"/>
    <w:rsid w:val="00292715"/>
    <w:rsid w:val="0029271E"/>
    <w:rsid w:val="002932E5"/>
    <w:rsid w:val="00293E57"/>
    <w:rsid w:val="002947D1"/>
    <w:rsid w:val="002948DF"/>
    <w:rsid w:val="002949C4"/>
    <w:rsid w:val="00294D90"/>
    <w:rsid w:val="00295459"/>
    <w:rsid w:val="0029685E"/>
    <w:rsid w:val="002A0FF9"/>
    <w:rsid w:val="002A1E92"/>
    <w:rsid w:val="002A204D"/>
    <w:rsid w:val="002A2616"/>
    <w:rsid w:val="002A26E1"/>
    <w:rsid w:val="002A2A77"/>
    <w:rsid w:val="002A2DB7"/>
    <w:rsid w:val="002A34D7"/>
    <w:rsid w:val="002A368A"/>
    <w:rsid w:val="002A3848"/>
    <w:rsid w:val="002A3FC0"/>
    <w:rsid w:val="002A4065"/>
    <w:rsid w:val="002A4D60"/>
    <w:rsid w:val="002A59F0"/>
    <w:rsid w:val="002A638F"/>
    <w:rsid w:val="002A6432"/>
    <w:rsid w:val="002A6795"/>
    <w:rsid w:val="002A6F25"/>
    <w:rsid w:val="002A6FD3"/>
    <w:rsid w:val="002A77E6"/>
    <w:rsid w:val="002B0A7D"/>
    <w:rsid w:val="002B0D1D"/>
    <w:rsid w:val="002B1A69"/>
    <w:rsid w:val="002B2059"/>
    <w:rsid w:val="002B2723"/>
    <w:rsid w:val="002B303A"/>
    <w:rsid w:val="002B401D"/>
    <w:rsid w:val="002B4731"/>
    <w:rsid w:val="002B4F4A"/>
    <w:rsid w:val="002B538E"/>
    <w:rsid w:val="002B538F"/>
    <w:rsid w:val="002B5531"/>
    <w:rsid w:val="002B5DCA"/>
    <w:rsid w:val="002B5EC1"/>
    <w:rsid w:val="002B5EE6"/>
    <w:rsid w:val="002B6184"/>
    <w:rsid w:val="002B629E"/>
    <w:rsid w:val="002B6BDC"/>
    <w:rsid w:val="002B6E2B"/>
    <w:rsid w:val="002B75B0"/>
    <w:rsid w:val="002B7EAF"/>
    <w:rsid w:val="002C099C"/>
    <w:rsid w:val="002C0B74"/>
    <w:rsid w:val="002C0C8B"/>
    <w:rsid w:val="002C0CBB"/>
    <w:rsid w:val="002C1201"/>
    <w:rsid w:val="002C1460"/>
    <w:rsid w:val="002C1747"/>
    <w:rsid w:val="002C1B56"/>
    <w:rsid w:val="002C20F2"/>
    <w:rsid w:val="002C38B2"/>
    <w:rsid w:val="002C3AD9"/>
    <w:rsid w:val="002C3F9C"/>
    <w:rsid w:val="002C4592"/>
    <w:rsid w:val="002C4CF8"/>
    <w:rsid w:val="002C5123"/>
    <w:rsid w:val="002C5407"/>
    <w:rsid w:val="002C5463"/>
    <w:rsid w:val="002C5AFA"/>
    <w:rsid w:val="002C780C"/>
    <w:rsid w:val="002D0439"/>
    <w:rsid w:val="002D11B7"/>
    <w:rsid w:val="002D1D09"/>
    <w:rsid w:val="002D1F4F"/>
    <w:rsid w:val="002D3BBC"/>
    <w:rsid w:val="002D3D07"/>
    <w:rsid w:val="002D438A"/>
    <w:rsid w:val="002D5738"/>
    <w:rsid w:val="002D5C91"/>
    <w:rsid w:val="002D5E53"/>
    <w:rsid w:val="002E0319"/>
    <w:rsid w:val="002E0648"/>
    <w:rsid w:val="002E179B"/>
    <w:rsid w:val="002E1C9E"/>
    <w:rsid w:val="002E257B"/>
    <w:rsid w:val="002E2E0F"/>
    <w:rsid w:val="002E3C65"/>
    <w:rsid w:val="002E3F5B"/>
    <w:rsid w:val="002E4362"/>
    <w:rsid w:val="002E5039"/>
    <w:rsid w:val="002E60BB"/>
    <w:rsid w:val="002E6339"/>
    <w:rsid w:val="002E63D9"/>
    <w:rsid w:val="002E640E"/>
    <w:rsid w:val="002F0C28"/>
    <w:rsid w:val="002F21FB"/>
    <w:rsid w:val="002F24DB"/>
    <w:rsid w:val="002F2727"/>
    <w:rsid w:val="002F3CDE"/>
    <w:rsid w:val="002F4F0D"/>
    <w:rsid w:val="002F5DD6"/>
    <w:rsid w:val="002F5FEA"/>
    <w:rsid w:val="002F63E7"/>
    <w:rsid w:val="002F7BE3"/>
    <w:rsid w:val="002F7E6A"/>
    <w:rsid w:val="00300165"/>
    <w:rsid w:val="003010CF"/>
    <w:rsid w:val="00302798"/>
    <w:rsid w:val="00303440"/>
    <w:rsid w:val="003043C3"/>
    <w:rsid w:val="00304C9A"/>
    <w:rsid w:val="00304D9B"/>
    <w:rsid w:val="0030521B"/>
    <w:rsid w:val="00305650"/>
    <w:rsid w:val="00305D00"/>
    <w:rsid w:val="00305FF9"/>
    <w:rsid w:val="00306E6B"/>
    <w:rsid w:val="00307958"/>
    <w:rsid w:val="003100C8"/>
    <w:rsid w:val="00310176"/>
    <w:rsid w:val="00311161"/>
    <w:rsid w:val="00312400"/>
    <w:rsid w:val="00312739"/>
    <w:rsid w:val="00312B5B"/>
    <w:rsid w:val="00312D10"/>
    <w:rsid w:val="00314706"/>
    <w:rsid w:val="0031543F"/>
    <w:rsid w:val="00315E06"/>
    <w:rsid w:val="00316E6A"/>
    <w:rsid w:val="003178DA"/>
    <w:rsid w:val="00317DB8"/>
    <w:rsid w:val="00320618"/>
    <w:rsid w:val="0032100B"/>
    <w:rsid w:val="003212A3"/>
    <w:rsid w:val="003214AC"/>
    <w:rsid w:val="00321BD7"/>
    <w:rsid w:val="0032230E"/>
    <w:rsid w:val="0032260F"/>
    <w:rsid w:val="003228DA"/>
    <w:rsid w:val="00322E93"/>
    <w:rsid w:val="0032360C"/>
    <w:rsid w:val="00323960"/>
    <w:rsid w:val="00323D6B"/>
    <w:rsid w:val="003252D1"/>
    <w:rsid w:val="00325487"/>
    <w:rsid w:val="0032580A"/>
    <w:rsid w:val="003264DF"/>
    <w:rsid w:val="00326957"/>
    <w:rsid w:val="00326AE2"/>
    <w:rsid w:val="00330E68"/>
    <w:rsid w:val="00331426"/>
    <w:rsid w:val="0033171D"/>
    <w:rsid w:val="00331E3A"/>
    <w:rsid w:val="00331FC3"/>
    <w:rsid w:val="00332E81"/>
    <w:rsid w:val="003336B3"/>
    <w:rsid w:val="00334179"/>
    <w:rsid w:val="003341E3"/>
    <w:rsid w:val="003341FC"/>
    <w:rsid w:val="00335B75"/>
    <w:rsid w:val="00335D8C"/>
    <w:rsid w:val="00336072"/>
    <w:rsid w:val="003361D2"/>
    <w:rsid w:val="003363A1"/>
    <w:rsid w:val="00337625"/>
    <w:rsid w:val="00337867"/>
    <w:rsid w:val="00337975"/>
    <w:rsid w:val="00337E20"/>
    <w:rsid w:val="00337EBC"/>
    <w:rsid w:val="00337F04"/>
    <w:rsid w:val="00340888"/>
    <w:rsid w:val="00340E7E"/>
    <w:rsid w:val="0034226D"/>
    <w:rsid w:val="00342384"/>
    <w:rsid w:val="00342972"/>
    <w:rsid w:val="00342FDD"/>
    <w:rsid w:val="0034429B"/>
    <w:rsid w:val="003442FA"/>
    <w:rsid w:val="00344866"/>
    <w:rsid w:val="0034638C"/>
    <w:rsid w:val="00346F7F"/>
    <w:rsid w:val="0034733A"/>
    <w:rsid w:val="00350108"/>
    <w:rsid w:val="00350524"/>
    <w:rsid w:val="00350762"/>
    <w:rsid w:val="003507C4"/>
    <w:rsid w:val="003519A1"/>
    <w:rsid w:val="00351EB4"/>
    <w:rsid w:val="00352480"/>
    <w:rsid w:val="0035275B"/>
    <w:rsid w:val="0035283F"/>
    <w:rsid w:val="00352B6A"/>
    <w:rsid w:val="00352E59"/>
    <w:rsid w:val="003530D2"/>
    <w:rsid w:val="0035331A"/>
    <w:rsid w:val="003534E1"/>
    <w:rsid w:val="00353668"/>
    <w:rsid w:val="003538DD"/>
    <w:rsid w:val="00353983"/>
    <w:rsid w:val="003539C6"/>
    <w:rsid w:val="00353B51"/>
    <w:rsid w:val="003548D8"/>
    <w:rsid w:val="0035542B"/>
    <w:rsid w:val="003554CA"/>
    <w:rsid w:val="00355EB3"/>
    <w:rsid w:val="0035640A"/>
    <w:rsid w:val="0035792E"/>
    <w:rsid w:val="00357BE5"/>
    <w:rsid w:val="00360232"/>
    <w:rsid w:val="003602E0"/>
    <w:rsid w:val="00360649"/>
    <w:rsid w:val="00360A64"/>
    <w:rsid w:val="00360D01"/>
    <w:rsid w:val="0036190F"/>
    <w:rsid w:val="00361F16"/>
    <w:rsid w:val="00362542"/>
    <w:rsid w:val="00362569"/>
    <w:rsid w:val="003636CD"/>
    <w:rsid w:val="003637F2"/>
    <w:rsid w:val="00364577"/>
    <w:rsid w:val="0036487C"/>
    <w:rsid w:val="00364A1D"/>
    <w:rsid w:val="00364CAF"/>
    <w:rsid w:val="00365411"/>
    <w:rsid w:val="00365FA2"/>
    <w:rsid w:val="00366C69"/>
    <w:rsid w:val="003670A7"/>
    <w:rsid w:val="0036714C"/>
    <w:rsid w:val="00367441"/>
    <w:rsid w:val="00367B1D"/>
    <w:rsid w:val="00367C8C"/>
    <w:rsid w:val="00370AE4"/>
    <w:rsid w:val="00370E4F"/>
    <w:rsid w:val="00371215"/>
    <w:rsid w:val="0037131D"/>
    <w:rsid w:val="00372F0D"/>
    <w:rsid w:val="00374059"/>
    <w:rsid w:val="00374B2C"/>
    <w:rsid w:val="00374F8B"/>
    <w:rsid w:val="003750DC"/>
    <w:rsid w:val="0037535B"/>
    <w:rsid w:val="0037552D"/>
    <w:rsid w:val="003756DB"/>
    <w:rsid w:val="00376066"/>
    <w:rsid w:val="003770BB"/>
    <w:rsid w:val="003774D4"/>
    <w:rsid w:val="003775BA"/>
    <w:rsid w:val="0037771A"/>
    <w:rsid w:val="003802DC"/>
    <w:rsid w:val="003809B2"/>
    <w:rsid w:val="003809D1"/>
    <w:rsid w:val="00380E4E"/>
    <w:rsid w:val="00380FBF"/>
    <w:rsid w:val="003817DA"/>
    <w:rsid w:val="003827B7"/>
    <w:rsid w:val="00382A43"/>
    <w:rsid w:val="00382D60"/>
    <w:rsid w:val="00382E69"/>
    <w:rsid w:val="00382F29"/>
    <w:rsid w:val="00383C8D"/>
    <w:rsid w:val="00384B01"/>
    <w:rsid w:val="00385093"/>
    <w:rsid w:val="003852FB"/>
    <w:rsid w:val="00385429"/>
    <w:rsid w:val="00385B05"/>
    <w:rsid w:val="00386382"/>
    <w:rsid w:val="003865EF"/>
    <w:rsid w:val="00386BA9"/>
    <w:rsid w:val="00386CFE"/>
    <w:rsid w:val="003877AA"/>
    <w:rsid w:val="00390017"/>
    <w:rsid w:val="003901A3"/>
    <w:rsid w:val="003901D1"/>
    <w:rsid w:val="0039072F"/>
    <w:rsid w:val="00390EE0"/>
    <w:rsid w:val="003920FA"/>
    <w:rsid w:val="00392E01"/>
    <w:rsid w:val="003940CE"/>
    <w:rsid w:val="0039498E"/>
    <w:rsid w:val="003954A4"/>
    <w:rsid w:val="003974D0"/>
    <w:rsid w:val="003977B5"/>
    <w:rsid w:val="00397C1D"/>
    <w:rsid w:val="003A010A"/>
    <w:rsid w:val="003A07C1"/>
    <w:rsid w:val="003A1508"/>
    <w:rsid w:val="003A180F"/>
    <w:rsid w:val="003A18DD"/>
    <w:rsid w:val="003A20C8"/>
    <w:rsid w:val="003A2C29"/>
    <w:rsid w:val="003A2C57"/>
    <w:rsid w:val="003A2CB8"/>
    <w:rsid w:val="003A2EC3"/>
    <w:rsid w:val="003A3232"/>
    <w:rsid w:val="003A36F2"/>
    <w:rsid w:val="003A3766"/>
    <w:rsid w:val="003A3B4B"/>
    <w:rsid w:val="003A3D39"/>
    <w:rsid w:val="003A3EC7"/>
    <w:rsid w:val="003A40B4"/>
    <w:rsid w:val="003A42C9"/>
    <w:rsid w:val="003A4EC3"/>
    <w:rsid w:val="003A5D50"/>
    <w:rsid w:val="003A7834"/>
    <w:rsid w:val="003B0A36"/>
    <w:rsid w:val="003B0B5B"/>
    <w:rsid w:val="003B0E79"/>
    <w:rsid w:val="003B1F9A"/>
    <w:rsid w:val="003B26FB"/>
    <w:rsid w:val="003B2C29"/>
    <w:rsid w:val="003B3575"/>
    <w:rsid w:val="003B462A"/>
    <w:rsid w:val="003B50BC"/>
    <w:rsid w:val="003B52BC"/>
    <w:rsid w:val="003B5579"/>
    <w:rsid w:val="003B5D97"/>
    <w:rsid w:val="003B63A4"/>
    <w:rsid w:val="003B6631"/>
    <w:rsid w:val="003B68FE"/>
    <w:rsid w:val="003B6D7D"/>
    <w:rsid w:val="003B7345"/>
    <w:rsid w:val="003B7BF2"/>
    <w:rsid w:val="003B7D7E"/>
    <w:rsid w:val="003C0331"/>
    <w:rsid w:val="003C0CCC"/>
    <w:rsid w:val="003C1012"/>
    <w:rsid w:val="003C11C9"/>
    <w:rsid w:val="003C1229"/>
    <w:rsid w:val="003C150E"/>
    <w:rsid w:val="003C1FD4"/>
    <w:rsid w:val="003C213D"/>
    <w:rsid w:val="003C25AD"/>
    <w:rsid w:val="003C2D21"/>
    <w:rsid w:val="003C339C"/>
    <w:rsid w:val="003C484E"/>
    <w:rsid w:val="003C4E6A"/>
    <w:rsid w:val="003C4F9D"/>
    <w:rsid w:val="003C50B4"/>
    <w:rsid w:val="003C5E6B"/>
    <w:rsid w:val="003C63B6"/>
    <w:rsid w:val="003C7AD7"/>
    <w:rsid w:val="003C7BF3"/>
    <w:rsid w:val="003D010A"/>
    <w:rsid w:val="003D0FC3"/>
    <w:rsid w:val="003D1EC3"/>
    <w:rsid w:val="003D1EDD"/>
    <w:rsid w:val="003D2C1D"/>
    <w:rsid w:val="003D2C34"/>
    <w:rsid w:val="003D36AC"/>
    <w:rsid w:val="003D3DDD"/>
    <w:rsid w:val="003D4967"/>
    <w:rsid w:val="003D4EF3"/>
    <w:rsid w:val="003D562C"/>
    <w:rsid w:val="003D5CBF"/>
    <w:rsid w:val="003D6000"/>
    <w:rsid w:val="003D66D2"/>
    <w:rsid w:val="003D7ACD"/>
    <w:rsid w:val="003E07AE"/>
    <w:rsid w:val="003E14B5"/>
    <w:rsid w:val="003E14FC"/>
    <w:rsid w:val="003E1666"/>
    <w:rsid w:val="003E27D2"/>
    <w:rsid w:val="003E2976"/>
    <w:rsid w:val="003E3BDA"/>
    <w:rsid w:val="003E3DCE"/>
    <w:rsid w:val="003E408B"/>
    <w:rsid w:val="003E4858"/>
    <w:rsid w:val="003E4A2A"/>
    <w:rsid w:val="003E6316"/>
    <w:rsid w:val="003E6884"/>
    <w:rsid w:val="003E6AC5"/>
    <w:rsid w:val="003E6F23"/>
    <w:rsid w:val="003E73F4"/>
    <w:rsid w:val="003E7B06"/>
    <w:rsid w:val="003E7C2F"/>
    <w:rsid w:val="003F0096"/>
    <w:rsid w:val="003F069B"/>
    <w:rsid w:val="003F0850"/>
    <w:rsid w:val="003F08FB"/>
    <w:rsid w:val="003F0A95"/>
    <w:rsid w:val="003F0D12"/>
    <w:rsid w:val="003F1342"/>
    <w:rsid w:val="003F160C"/>
    <w:rsid w:val="003F179B"/>
    <w:rsid w:val="003F2187"/>
    <w:rsid w:val="003F324F"/>
    <w:rsid w:val="003F33BC"/>
    <w:rsid w:val="003F3910"/>
    <w:rsid w:val="003F3A5E"/>
    <w:rsid w:val="003F3D4E"/>
    <w:rsid w:val="003F4347"/>
    <w:rsid w:val="003F477E"/>
    <w:rsid w:val="003F51FD"/>
    <w:rsid w:val="003F5A0B"/>
    <w:rsid w:val="003F65EA"/>
    <w:rsid w:val="003F6CD2"/>
    <w:rsid w:val="003F6FAA"/>
    <w:rsid w:val="003F788D"/>
    <w:rsid w:val="003F78F6"/>
    <w:rsid w:val="0040019C"/>
    <w:rsid w:val="004008E6"/>
    <w:rsid w:val="0040091F"/>
    <w:rsid w:val="0040126E"/>
    <w:rsid w:val="004020D4"/>
    <w:rsid w:val="0040213C"/>
    <w:rsid w:val="004021B6"/>
    <w:rsid w:val="00402AF5"/>
    <w:rsid w:val="004047C4"/>
    <w:rsid w:val="00404B2D"/>
    <w:rsid w:val="00404FBF"/>
    <w:rsid w:val="004050B5"/>
    <w:rsid w:val="004054A3"/>
    <w:rsid w:val="0040570B"/>
    <w:rsid w:val="00405EDB"/>
    <w:rsid w:val="00405FB1"/>
    <w:rsid w:val="00406460"/>
    <w:rsid w:val="004079C0"/>
    <w:rsid w:val="00407C1A"/>
    <w:rsid w:val="00407C8D"/>
    <w:rsid w:val="00410364"/>
    <w:rsid w:val="004110C8"/>
    <w:rsid w:val="00412461"/>
    <w:rsid w:val="00412546"/>
    <w:rsid w:val="004129C1"/>
    <w:rsid w:val="00413053"/>
    <w:rsid w:val="0041319C"/>
    <w:rsid w:val="004131C6"/>
    <w:rsid w:val="004132A0"/>
    <w:rsid w:val="004137B6"/>
    <w:rsid w:val="00413A54"/>
    <w:rsid w:val="00413C10"/>
    <w:rsid w:val="00413CD9"/>
    <w:rsid w:val="00413F9A"/>
    <w:rsid w:val="004140CA"/>
    <w:rsid w:val="00414C65"/>
    <w:rsid w:val="004152BF"/>
    <w:rsid w:val="0041572A"/>
    <w:rsid w:val="0041574A"/>
    <w:rsid w:val="004157E4"/>
    <w:rsid w:val="00415D76"/>
    <w:rsid w:val="00416665"/>
    <w:rsid w:val="00416730"/>
    <w:rsid w:val="00416A67"/>
    <w:rsid w:val="00416ACB"/>
    <w:rsid w:val="004177DB"/>
    <w:rsid w:val="004201DF"/>
    <w:rsid w:val="00420558"/>
    <w:rsid w:val="00421A25"/>
    <w:rsid w:val="00421DCF"/>
    <w:rsid w:val="00421FEC"/>
    <w:rsid w:val="00422341"/>
    <w:rsid w:val="00423641"/>
    <w:rsid w:val="00423F72"/>
    <w:rsid w:val="004244F7"/>
    <w:rsid w:val="004245CE"/>
    <w:rsid w:val="004247E7"/>
    <w:rsid w:val="004253A5"/>
    <w:rsid w:val="00425DFF"/>
    <w:rsid w:val="00426266"/>
    <w:rsid w:val="00426C4F"/>
    <w:rsid w:val="00427116"/>
    <w:rsid w:val="004274FE"/>
    <w:rsid w:val="004302EE"/>
    <w:rsid w:val="00430A2D"/>
    <w:rsid w:val="00430A4B"/>
    <w:rsid w:val="00430AEE"/>
    <w:rsid w:val="00431233"/>
    <w:rsid w:val="00431505"/>
    <w:rsid w:val="00431AF0"/>
    <w:rsid w:val="0043213A"/>
    <w:rsid w:val="00432234"/>
    <w:rsid w:val="0043272F"/>
    <w:rsid w:val="004329D4"/>
    <w:rsid w:val="00432B01"/>
    <w:rsid w:val="004330F4"/>
    <w:rsid w:val="004332A5"/>
    <w:rsid w:val="004332AF"/>
    <w:rsid w:val="00433590"/>
    <w:rsid w:val="0043393D"/>
    <w:rsid w:val="00434488"/>
    <w:rsid w:val="004344C7"/>
    <w:rsid w:val="0043464F"/>
    <w:rsid w:val="004346AC"/>
    <w:rsid w:val="00434BE7"/>
    <w:rsid w:val="00434DB2"/>
    <w:rsid w:val="00435113"/>
    <w:rsid w:val="00435274"/>
    <w:rsid w:val="004352AD"/>
    <w:rsid w:val="0043545D"/>
    <w:rsid w:val="00435FE2"/>
    <w:rsid w:val="004360E4"/>
    <w:rsid w:val="00436E2F"/>
    <w:rsid w:val="00436EAB"/>
    <w:rsid w:val="00440930"/>
    <w:rsid w:val="0044200A"/>
    <w:rsid w:val="00442E1D"/>
    <w:rsid w:val="00444BAE"/>
    <w:rsid w:val="004450A3"/>
    <w:rsid w:val="004456C0"/>
    <w:rsid w:val="004460B9"/>
    <w:rsid w:val="004461D9"/>
    <w:rsid w:val="00446491"/>
    <w:rsid w:val="004469FC"/>
    <w:rsid w:val="00446A56"/>
    <w:rsid w:val="00446AC6"/>
    <w:rsid w:val="004474DF"/>
    <w:rsid w:val="0044759B"/>
    <w:rsid w:val="00447F54"/>
    <w:rsid w:val="00450B7E"/>
    <w:rsid w:val="0045136B"/>
    <w:rsid w:val="00451490"/>
    <w:rsid w:val="0045181F"/>
    <w:rsid w:val="00451C7E"/>
    <w:rsid w:val="0045223C"/>
    <w:rsid w:val="00452B0E"/>
    <w:rsid w:val="00453BB6"/>
    <w:rsid w:val="00453CAA"/>
    <w:rsid w:val="00455113"/>
    <w:rsid w:val="004559B4"/>
    <w:rsid w:val="00456421"/>
    <w:rsid w:val="0045643A"/>
    <w:rsid w:val="00456452"/>
    <w:rsid w:val="004565D9"/>
    <w:rsid w:val="00456C7A"/>
    <w:rsid w:val="00456DAB"/>
    <w:rsid w:val="00460CC3"/>
    <w:rsid w:val="00460E86"/>
    <w:rsid w:val="004623F0"/>
    <w:rsid w:val="0046294B"/>
    <w:rsid w:val="0046412A"/>
    <w:rsid w:val="004646B4"/>
    <w:rsid w:val="0046480A"/>
    <w:rsid w:val="00464A88"/>
    <w:rsid w:val="00464ADD"/>
    <w:rsid w:val="004651A0"/>
    <w:rsid w:val="0046526C"/>
    <w:rsid w:val="004656A3"/>
    <w:rsid w:val="00465E32"/>
    <w:rsid w:val="00466532"/>
    <w:rsid w:val="00467488"/>
    <w:rsid w:val="00467F25"/>
    <w:rsid w:val="00470003"/>
    <w:rsid w:val="0047083E"/>
    <w:rsid w:val="00470EB5"/>
    <w:rsid w:val="0047167C"/>
    <w:rsid w:val="00471DBE"/>
    <w:rsid w:val="004720FD"/>
    <w:rsid w:val="004725A4"/>
    <w:rsid w:val="0047286B"/>
    <w:rsid w:val="00472E27"/>
    <w:rsid w:val="00473942"/>
    <w:rsid w:val="00474220"/>
    <w:rsid w:val="00474A7A"/>
    <w:rsid w:val="00474A9E"/>
    <w:rsid w:val="004752D3"/>
    <w:rsid w:val="004754E1"/>
    <w:rsid w:val="00475CE0"/>
    <w:rsid w:val="0047636D"/>
    <w:rsid w:val="00476827"/>
    <w:rsid w:val="00476BD4"/>
    <w:rsid w:val="00477660"/>
    <w:rsid w:val="00477B2D"/>
    <w:rsid w:val="00477C35"/>
    <w:rsid w:val="00480988"/>
    <w:rsid w:val="00480E05"/>
    <w:rsid w:val="004814AA"/>
    <w:rsid w:val="00481538"/>
    <w:rsid w:val="004820C0"/>
    <w:rsid w:val="00482BBE"/>
    <w:rsid w:val="00482E7C"/>
    <w:rsid w:val="00483A12"/>
    <w:rsid w:val="00484A77"/>
    <w:rsid w:val="00485251"/>
    <w:rsid w:val="0048540F"/>
    <w:rsid w:val="00485970"/>
    <w:rsid w:val="00485B36"/>
    <w:rsid w:val="00485C0D"/>
    <w:rsid w:val="00486575"/>
    <w:rsid w:val="004866D0"/>
    <w:rsid w:val="00487BA7"/>
    <w:rsid w:val="004910B8"/>
    <w:rsid w:val="004922F7"/>
    <w:rsid w:val="00492FE1"/>
    <w:rsid w:val="00493D68"/>
    <w:rsid w:val="00494006"/>
    <w:rsid w:val="00494242"/>
    <w:rsid w:val="00494E8E"/>
    <w:rsid w:val="004955BC"/>
    <w:rsid w:val="00495BBE"/>
    <w:rsid w:val="00495D63"/>
    <w:rsid w:val="0049648F"/>
    <w:rsid w:val="004965E9"/>
    <w:rsid w:val="00496606"/>
    <w:rsid w:val="00496E8D"/>
    <w:rsid w:val="00496F05"/>
    <w:rsid w:val="00497370"/>
    <w:rsid w:val="004A0BC1"/>
    <w:rsid w:val="004A0F39"/>
    <w:rsid w:val="004A1246"/>
    <w:rsid w:val="004A19F1"/>
    <w:rsid w:val="004A1E58"/>
    <w:rsid w:val="004A251F"/>
    <w:rsid w:val="004A3BF1"/>
    <w:rsid w:val="004A3E42"/>
    <w:rsid w:val="004A46A8"/>
    <w:rsid w:val="004A4715"/>
    <w:rsid w:val="004A5046"/>
    <w:rsid w:val="004A565E"/>
    <w:rsid w:val="004A5DF3"/>
    <w:rsid w:val="004A6134"/>
    <w:rsid w:val="004A62FA"/>
    <w:rsid w:val="004A65E5"/>
    <w:rsid w:val="004A6D1E"/>
    <w:rsid w:val="004A7092"/>
    <w:rsid w:val="004A7A35"/>
    <w:rsid w:val="004B0869"/>
    <w:rsid w:val="004B3B0F"/>
    <w:rsid w:val="004B49E6"/>
    <w:rsid w:val="004B4D69"/>
    <w:rsid w:val="004C01A8"/>
    <w:rsid w:val="004C0E92"/>
    <w:rsid w:val="004C1643"/>
    <w:rsid w:val="004C1840"/>
    <w:rsid w:val="004C24C9"/>
    <w:rsid w:val="004C2AE4"/>
    <w:rsid w:val="004C31B6"/>
    <w:rsid w:val="004C5319"/>
    <w:rsid w:val="004C5FD5"/>
    <w:rsid w:val="004C621F"/>
    <w:rsid w:val="004C6368"/>
    <w:rsid w:val="004C64E7"/>
    <w:rsid w:val="004C74E6"/>
    <w:rsid w:val="004C7948"/>
    <w:rsid w:val="004C7980"/>
    <w:rsid w:val="004C7BB8"/>
    <w:rsid w:val="004C7C60"/>
    <w:rsid w:val="004D0DFE"/>
    <w:rsid w:val="004D130F"/>
    <w:rsid w:val="004D1D91"/>
    <w:rsid w:val="004D22C3"/>
    <w:rsid w:val="004D2D1D"/>
    <w:rsid w:val="004D3C46"/>
    <w:rsid w:val="004D40E4"/>
    <w:rsid w:val="004D4E10"/>
    <w:rsid w:val="004D6CDF"/>
    <w:rsid w:val="004D6D9E"/>
    <w:rsid w:val="004D6F4D"/>
    <w:rsid w:val="004D6F95"/>
    <w:rsid w:val="004D72FE"/>
    <w:rsid w:val="004D7E91"/>
    <w:rsid w:val="004E003A"/>
    <w:rsid w:val="004E0768"/>
    <w:rsid w:val="004E0E85"/>
    <w:rsid w:val="004E158F"/>
    <w:rsid w:val="004E1A31"/>
    <w:rsid w:val="004E2506"/>
    <w:rsid w:val="004E2DE0"/>
    <w:rsid w:val="004E3A18"/>
    <w:rsid w:val="004E4060"/>
    <w:rsid w:val="004E409A"/>
    <w:rsid w:val="004E49C3"/>
    <w:rsid w:val="004E6486"/>
    <w:rsid w:val="004E7130"/>
    <w:rsid w:val="004E7368"/>
    <w:rsid w:val="004E73CD"/>
    <w:rsid w:val="004E7A5E"/>
    <w:rsid w:val="004F063E"/>
    <w:rsid w:val="004F0FB9"/>
    <w:rsid w:val="004F2204"/>
    <w:rsid w:val="004F233D"/>
    <w:rsid w:val="004F2A1B"/>
    <w:rsid w:val="004F2C63"/>
    <w:rsid w:val="004F2F7E"/>
    <w:rsid w:val="004F32B5"/>
    <w:rsid w:val="004F33B9"/>
    <w:rsid w:val="004F33D9"/>
    <w:rsid w:val="004F3BF6"/>
    <w:rsid w:val="004F407E"/>
    <w:rsid w:val="004F457C"/>
    <w:rsid w:val="004F5460"/>
    <w:rsid w:val="004F5479"/>
    <w:rsid w:val="004F5B99"/>
    <w:rsid w:val="004F5C3C"/>
    <w:rsid w:val="004F64D7"/>
    <w:rsid w:val="004F7355"/>
    <w:rsid w:val="004F7528"/>
    <w:rsid w:val="004F7BCA"/>
    <w:rsid w:val="004F7D89"/>
    <w:rsid w:val="0050109A"/>
    <w:rsid w:val="00501981"/>
    <w:rsid w:val="00501A85"/>
    <w:rsid w:val="00501BB3"/>
    <w:rsid w:val="005021DD"/>
    <w:rsid w:val="005026CA"/>
    <w:rsid w:val="00502B72"/>
    <w:rsid w:val="0050350A"/>
    <w:rsid w:val="005035CA"/>
    <w:rsid w:val="00503A7E"/>
    <w:rsid w:val="0050476D"/>
    <w:rsid w:val="00504BC1"/>
    <w:rsid w:val="00505134"/>
    <w:rsid w:val="00505C04"/>
    <w:rsid w:val="005064B5"/>
    <w:rsid w:val="00506A3B"/>
    <w:rsid w:val="00510DF3"/>
    <w:rsid w:val="00511F15"/>
    <w:rsid w:val="00512614"/>
    <w:rsid w:val="00512F65"/>
    <w:rsid w:val="0051318C"/>
    <w:rsid w:val="00514248"/>
    <w:rsid w:val="005142CD"/>
    <w:rsid w:val="005143C9"/>
    <w:rsid w:val="00514D22"/>
    <w:rsid w:val="005157A9"/>
    <w:rsid w:val="005158AC"/>
    <w:rsid w:val="0051645E"/>
    <w:rsid w:val="005173A7"/>
    <w:rsid w:val="005177E1"/>
    <w:rsid w:val="0052049C"/>
    <w:rsid w:val="00520918"/>
    <w:rsid w:val="00520C0A"/>
    <w:rsid w:val="005218B6"/>
    <w:rsid w:val="00521BC9"/>
    <w:rsid w:val="00522589"/>
    <w:rsid w:val="005233D5"/>
    <w:rsid w:val="00524545"/>
    <w:rsid w:val="00524A8A"/>
    <w:rsid w:val="00525041"/>
    <w:rsid w:val="005255BF"/>
    <w:rsid w:val="005257DE"/>
    <w:rsid w:val="00526688"/>
    <w:rsid w:val="005266DA"/>
    <w:rsid w:val="00526B42"/>
    <w:rsid w:val="00526C3C"/>
    <w:rsid w:val="00527200"/>
    <w:rsid w:val="00530157"/>
    <w:rsid w:val="00530ACB"/>
    <w:rsid w:val="00531385"/>
    <w:rsid w:val="005314F2"/>
    <w:rsid w:val="00531C50"/>
    <w:rsid w:val="00531EBE"/>
    <w:rsid w:val="005325E6"/>
    <w:rsid w:val="00532F8B"/>
    <w:rsid w:val="005331E5"/>
    <w:rsid w:val="00533737"/>
    <w:rsid w:val="00533738"/>
    <w:rsid w:val="005345FA"/>
    <w:rsid w:val="00535B79"/>
    <w:rsid w:val="00535D7C"/>
    <w:rsid w:val="00535E0B"/>
    <w:rsid w:val="00536579"/>
    <w:rsid w:val="00536AEE"/>
    <w:rsid w:val="00536C1E"/>
    <w:rsid w:val="00540693"/>
    <w:rsid w:val="00540DA3"/>
    <w:rsid w:val="00540F94"/>
    <w:rsid w:val="00541445"/>
    <w:rsid w:val="0054148B"/>
    <w:rsid w:val="00542AC3"/>
    <w:rsid w:val="0054343A"/>
    <w:rsid w:val="00543974"/>
    <w:rsid w:val="00543EBF"/>
    <w:rsid w:val="00544379"/>
    <w:rsid w:val="00544ABA"/>
    <w:rsid w:val="00544D6C"/>
    <w:rsid w:val="005450AD"/>
    <w:rsid w:val="0054593A"/>
    <w:rsid w:val="00545CEC"/>
    <w:rsid w:val="00545DB0"/>
    <w:rsid w:val="005467FB"/>
    <w:rsid w:val="00546AE9"/>
    <w:rsid w:val="00547989"/>
    <w:rsid w:val="00551320"/>
    <w:rsid w:val="005518A4"/>
    <w:rsid w:val="00551D12"/>
    <w:rsid w:val="00552768"/>
    <w:rsid w:val="00552935"/>
    <w:rsid w:val="00552C38"/>
    <w:rsid w:val="00553127"/>
    <w:rsid w:val="005537D5"/>
    <w:rsid w:val="00553BD6"/>
    <w:rsid w:val="00554BE7"/>
    <w:rsid w:val="00554DA2"/>
    <w:rsid w:val="00555E95"/>
    <w:rsid w:val="00555F5F"/>
    <w:rsid w:val="0055675F"/>
    <w:rsid w:val="00556D68"/>
    <w:rsid w:val="00557173"/>
    <w:rsid w:val="005576A1"/>
    <w:rsid w:val="00557A64"/>
    <w:rsid w:val="00557C5E"/>
    <w:rsid w:val="00560019"/>
    <w:rsid w:val="00560439"/>
    <w:rsid w:val="005605C0"/>
    <w:rsid w:val="00560B51"/>
    <w:rsid w:val="00560CD0"/>
    <w:rsid w:val="00560D23"/>
    <w:rsid w:val="00560D3C"/>
    <w:rsid w:val="005615D8"/>
    <w:rsid w:val="00561AA6"/>
    <w:rsid w:val="00561DD0"/>
    <w:rsid w:val="005626CB"/>
    <w:rsid w:val="005626D6"/>
    <w:rsid w:val="0056384F"/>
    <w:rsid w:val="005638D4"/>
    <w:rsid w:val="00563B91"/>
    <w:rsid w:val="00563E62"/>
    <w:rsid w:val="0056494D"/>
    <w:rsid w:val="00564CC1"/>
    <w:rsid w:val="0056544D"/>
    <w:rsid w:val="0056550C"/>
    <w:rsid w:val="005656ED"/>
    <w:rsid w:val="00566544"/>
    <w:rsid w:val="00566608"/>
    <w:rsid w:val="00566C83"/>
    <w:rsid w:val="005675A6"/>
    <w:rsid w:val="005700FE"/>
    <w:rsid w:val="0057044A"/>
    <w:rsid w:val="00570E24"/>
    <w:rsid w:val="005718BA"/>
    <w:rsid w:val="00571C19"/>
    <w:rsid w:val="00571C2B"/>
    <w:rsid w:val="00571E2A"/>
    <w:rsid w:val="00571F99"/>
    <w:rsid w:val="005725A8"/>
    <w:rsid w:val="00572760"/>
    <w:rsid w:val="005732CF"/>
    <w:rsid w:val="00573BD8"/>
    <w:rsid w:val="005743DE"/>
    <w:rsid w:val="00574F3F"/>
    <w:rsid w:val="0057562C"/>
    <w:rsid w:val="005756FA"/>
    <w:rsid w:val="005759F6"/>
    <w:rsid w:val="00575E3E"/>
    <w:rsid w:val="005765F5"/>
    <w:rsid w:val="00576D6C"/>
    <w:rsid w:val="00577A2E"/>
    <w:rsid w:val="00577AF7"/>
    <w:rsid w:val="00577CB7"/>
    <w:rsid w:val="00577F32"/>
    <w:rsid w:val="00580735"/>
    <w:rsid w:val="00580DA7"/>
    <w:rsid w:val="00580E48"/>
    <w:rsid w:val="00580F0A"/>
    <w:rsid w:val="00581246"/>
    <w:rsid w:val="0058148F"/>
    <w:rsid w:val="00581C7F"/>
    <w:rsid w:val="00582C3A"/>
    <w:rsid w:val="00582E1A"/>
    <w:rsid w:val="00583147"/>
    <w:rsid w:val="00583ECB"/>
    <w:rsid w:val="00584416"/>
    <w:rsid w:val="00584565"/>
    <w:rsid w:val="005847D6"/>
    <w:rsid w:val="00584B39"/>
    <w:rsid w:val="00585028"/>
    <w:rsid w:val="005851D5"/>
    <w:rsid w:val="005854D1"/>
    <w:rsid w:val="00585F5B"/>
    <w:rsid w:val="0058620A"/>
    <w:rsid w:val="00586350"/>
    <w:rsid w:val="00587FC0"/>
    <w:rsid w:val="00587FD8"/>
    <w:rsid w:val="005904F3"/>
    <w:rsid w:val="00590558"/>
    <w:rsid w:val="005906AD"/>
    <w:rsid w:val="00590DA6"/>
    <w:rsid w:val="00591618"/>
    <w:rsid w:val="00591739"/>
    <w:rsid w:val="00591C7D"/>
    <w:rsid w:val="00591C91"/>
    <w:rsid w:val="00591D78"/>
    <w:rsid w:val="00592B03"/>
    <w:rsid w:val="00593AB9"/>
    <w:rsid w:val="00593EE1"/>
    <w:rsid w:val="0059454C"/>
    <w:rsid w:val="00594754"/>
    <w:rsid w:val="00594ABB"/>
    <w:rsid w:val="00594D1C"/>
    <w:rsid w:val="00594E36"/>
    <w:rsid w:val="00594F0A"/>
    <w:rsid w:val="0059525E"/>
    <w:rsid w:val="00595589"/>
    <w:rsid w:val="00595887"/>
    <w:rsid w:val="005961F7"/>
    <w:rsid w:val="00596B9C"/>
    <w:rsid w:val="00596DBE"/>
    <w:rsid w:val="00596FC8"/>
    <w:rsid w:val="005972D3"/>
    <w:rsid w:val="005A054D"/>
    <w:rsid w:val="005A0A46"/>
    <w:rsid w:val="005A0DF5"/>
    <w:rsid w:val="005A10B9"/>
    <w:rsid w:val="005A11EA"/>
    <w:rsid w:val="005A1C16"/>
    <w:rsid w:val="005A230A"/>
    <w:rsid w:val="005A269F"/>
    <w:rsid w:val="005A305E"/>
    <w:rsid w:val="005A30BB"/>
    <w:rsid w:val="005A3887"/>
    <w:rsid w:val="005A3AC4"/>
    <w:rsid w:val="005A3CD6"/>
    <w:rsid w:val="005A3E03"/>
    <w:rsid w:val="005A4D93"/>
    <w:rsid w:val="005A4DEB"/>
    <w:rsid w:val="005A65E6"/>
    <w:rsid w:val="005A7321"/>
    <w:rsid w:val="005A793A"/>
    <w:rsid w:val="005B0542"/>
    <w:rsid w:val="005B0A16"/>
    <w:rsid w:val="005B115F"/>
    <w:rsid w:val="005B18E8"/>
    <w:rsid w:val="005B2225"/>
    <w:rsid w:val="005B2799"/>
    <w:rsid w:val="005B28DF"/>
    <w:rsid w:val="005B2B77"/>
    <w:rsid w:val="005B3AB8"/>
    <w:rsid w:val="005B3D4A"/>
    <w:rsid w:val="005B4439"/>
    <w:rsid w:val="005B4D87"/>
    <w:rsid w:val="005B595F"/>
    <w:rsid w:val="005B6852"/>
    <w:rsid w:val="005B7286"/>
    <w:rsid w:val="005B7DD1"/>
    <w:rsid w:val="005C00A0"/>
    <w:rsid w:val="005C00BE"/>
    <w:rsid w:val="005C0C5D"/>
    <w:rsid w:val="005C1421"/>
    <w:rsid w:val="005C28FA"/>
    <w:rsid w:val="005C2FD1"/>
    <w:rsid w:val="005C302D"/>
    <w:rsid w:val="005C4070"/>
    <w:rsid w:val="005C40CB"/>
    <w:rsid w:val="005C40F4"/>
    <w:rsid w:val="005C43BE"/>
    <w:rsid w:val="005C44F3"/>
    <w:rsid w:val="005C5348"/>
    <w:rsid w:val="005C712D"/>
    <w:rsid w:val="005C7C75"/>
    <w:rsid w:val="005D0B77"/>
    <w:rsid w:val="005D0DFF"/>
    <w:rsid w:val="005D0E26"/>
    <w:rsid w:val="005D0E4F"/>
    <w:rsid w:val="005D1302"/>
    <w:rsid w:val="005D1355"/>
    <w:rsid w:val="005D1E32"/>
    <w:rsid w:val="005D206B"/>
    <w:rsid w:val="005D22B7"/>
    <w:rsid w:val="005D2919"/>
    <w:rsid w:val="005D2BDE"/>
    <w:rsid w:val="005D30A9"/>
    <w:rsid w:val="005D341D"/>
    <w:rsid w:val="005D3D76"/>
    <w:rsid w:val="005D4578"/>
    <w:rsid w:val="005D47B1"/>
    <w:rsid w:val="005D489F"/>
    <w:rsid w:val="005D4EFA"/>
    <w:rsid w:val="005D55BA"/>
    <w:rsid w:val="005D5ADB"/>
    <w:rsid w:val="005D5E10"/>
    <w:rsid w:val="005D648A"/>
    <w:rsid w:val="005D72A6"/>
    <w:rsid w:val="005D76AB"/>
    <w:rsid w:val="005D7E0D"/>
    <w:rsid w:val="005E1EA2"/>
    <w:rsid w:val="005E234A"/>
    <w:rsid w:val="005E259B"/>
    <w:rsid w:val="005E2C1E"/>
    <w:rsid w:val="005E35CC"/>
    <w:rsid w:val="005E371E"/>
    <w:rsid w:val="005E3BC5"/>
    <w:rsid w:val="005E43CF"/>
    <w:rsid w:val="005E50EF"/>
    <w:rsid w:val="005E5299"/>
    <w:rsid w:val="005E53F9"/>
    <w:rsid w:val="005E56A9"/>
    <w:rsid w:val="005E5700"/>
    <w:rsid w:val="005E775D"/>
    <w:rsid w:val="005E7859"/>
    <w:rsid w:val="005F0375"/>
    <w:rsid w:val="005F0A43"/>
    <w:rsid w:val="005F1074"/>
    <w:rsid w:val="005F2147"/>
    <w:rsid w:val="005F22F7"/>
    <w:rsid w:val="005F27BF"/>
    <w:rsid w:val="005F2A14"/>
    <w:rsid w:val="005F3896"/>
    <w:rsid w:val="005F4171"/>
    <w:rsid w:val="005F46D6"/>
    <w:rsid w:val="005F4DD6"/>
    <w:rsid w:val="005F4F25"/>
    <w:rsid w:val="005F50D8"/>
    <w:rsid w:val="005F53A1"/>
    <w:rsid w:val="005F59A1"/>
    <w:rsid w:val="005F6B77"/>
    <w:rsid w:val="005F726F"/>
    <w:rsid w:val="005F7487"/>
    <w:rsid w:val="005F7BCF"/>
    <w:rsid w:val="005F7ED7"/>
    <w:rsid w:val="005F7F6E"/>
    <w:rsid w:val="006002C7"/>
    <w:rsid w:val="006008F7"/>
    <w:rsid w:val="00600F95"/>
    <w:rsid w:val="00601839"/>
    <w:rsid w:val="00601C02"/>
    <w:rsid w:val="00602665"/>
    <w:rsid w:val="00602759"/>
    <w:rsid w:val="0060277A"/>
    <w:rsid w:val="00602B7C"/>
    <w:rsid w:val="00603312"/>
    <w:rsid w:val="0060445E"/>
    <w:rsid w:val="00604DC7"/>
    <w:rsid w:val="00604E47"/>
    <w:rsid w:val="00605441"/>
    <w:rsid w:val="00605EC7"/>
    <w:rsid w:val="006064AB"/>
    <w:rsid w:val="00606970"/>
    <w:rsid w:val="00606A20"/>
    <w:rsid w:val="006072C6"/>
    <w:rsid w:val="00607A18"/>
    <w:rsid w:val="00607A2E"/>
    <w:rsid w:val="00610FA1"/>
    <w:rsid w:val="00611595"/>
    <w:rsid w:val="0061173B"/>
    <w:rsid w:val="006130F7"/>
    <w:rsid w:val="00613109"/>
    <w:rsid w:val="00613AF8"/>
    <w:rsid w:val="00613D8E"/>
    <w:rsid w:val="006142E0"/>
    <w:rsid w:val="00615783"/>
    <w:rsid w:val="00616112"/>
    <w:rsid w:val="00617B4F"/>
    <w:rsid w:val="006205CA"/>
    <w:rsid w:val="00620BC7"/>
    <w:rsid w:val="00621F53"/>
    <w:rsid w:val="00622E2A"/>
    <w:rsid w:val="00623089"/>
    <w:rsid w:val="0062308E"/>
    <w:rsid w:val="006232CE"/>
    <w:rsid w:val="006234C4"/>
    <w:rsid w:val="00623BEF"/>
    <w:rsid w:val="00623FD1"/>
    <w:rsid w:val="006244C9"/>
    <w:rsid w:val="006245F6"/>
    <w:rsid w:val="0062475D"/>
    <w:rsid w:val="0062495F"/>
    <w:rsid w:val="006249CA"/>
    <w:rsid w:val="00624B96"/>
    <w:rsid w:val="00626004"/>
    <w:rsid w:val="0062660B"/>
    <w:rsid w:val="00626883"/>
    <w:rsid w:val="00626AD1"/>
    <w:rsid w:val="006304BC"/>
    <w:rsid w:val="00630DCE"/>
    <w:rsid w:val="0063120A"/>
    <w:rsid w:val="0063150B"/>
    <w:rsid w:val="00631585"/>
    <w:rsid w:val="00633486"/>
    <w:rsid w:val="0063359D"/>
    <w:rsid w:val="0063421B"/>
    <w:rsid w:val="00634ACF"/>
    <w:rsid w:val="00634DFB"/>
    <w:rsid w:val="00635035"/>
    <w:rsid w:val="0063580D"/>
    <w:rsid w:val="00635CAE"/>
    <w:rsid w:val="00636416"/>
    <w:rsid w:val="0063699C"/>
    <w:rsid w:val="00637240"/>
    <w:rsid w:val="00637440"/>
    <w:rsid w:val="00637D07"/>
    <w:rsid w:val="006410A8"/>
    <w:rsid w:val="00641AD0"/>
    <w:rsid w:val="00641E25"/>
    <w:rsid w:val="00641FC3"/>
    <w:rsid w:val="00643180"/>
    <w:rsid w:val="006431D7"/>
    <w:rsid w:val="00643660"/>
    <w:rsid w:val="00644236"/>
    <w:rsid w:val="00645592"/>
    <w:rsid w:val="00645FFE"/>
    <w:rsid w:val="00646308"/>
    <w:rsid w:val="0064683A"/>
    <w:rsid w:val="00646871"/>
    <w:rsid w:val="00647AA7"/>
    <w:rsid w:val="00650139"/>
    <w:rsid w:val="00650697"/>
    <w:rsid w:val="00650FF4"/>
    <w:rsid w:val="00652756"/>
    <w:rsid w:val="00652AD8"/>
    <w:rsid w:val="00652B79"/>
    <w:rsid w:val="006533C3"/>
    <w:rsid w:val="00654068"/>
    <w:rsid w:val="0065494B"/>
    <w:rsid w:val="00654B38"/>
    <w:rsid w:val="00654B83"/>
    <w:rsid w:val="00655061"/>
    <w:rsid w:val="0065510C"/>
    <w:rsid w:val="00655177"/>
    <w:rsid w:val="00655993"/>
    <w:rsid w:val="00655B63"/>
    <w:rsid w:val="006571F6"/>
    <w:rsid w:val="006574F7"/>
    <w:rsid w:val="00660C49"/>
    <w:rsid w:val="00661049"/>
    <w:rsid w:val="00661132"/>
    <w:rsid w:val="006618CC"/>
    <w:rsid w:val="00661958"/>
    <w:rsid w:val="00661DC1"/>
    <w:rsid w:val="00662111"/>
    <w:rsid w:val="00662118"/>
    <w:rsid w:val="006630C3"/>
    <w:rsid w:val="006638AD"/>
    <w:rsid w:val="00665459"/>
    <w:rsid w:val="006658B9"/>
    <w:rsid w:val="00665B77"/>
    <w:rsid w:val="0066732C"/>
    <w:rsid w:val="0066751B"/>
    <w:rsid w:val="006679F5"/>
    <w:rsid w:val="00667B77"/>
    <w:rsid w:val="00667DD5"/>
    <w:rsid w:val="006701F3"/>
    <w:rsid w:val="0067106B"/>
    <w:rsid w:val="006716DA"/>
    <w:rsid w:val="006728ED"/>
    <w:rsid w:val="0067296A"/>
    <w:rsid w:val="00672C96"/>
    <w:rsid w:val="00672FCE"/>
    <w:rsid w:val="0067322B"/>
    <w:rsid w:val="006732B1"/>
    <w:rsid w:val="00673674"/>
    <w:rsid w:val="0067446F"/>
    <w:rsid w:val="006746A4"/>
    <w:rsid w:val="00675558"/>
    <w:rsid w:val="00675611"/>
    <w:rsid w:val="00675A60"/>
    <w:rsid w:val="006767BA"/>
    <w:rsid w:val="00676915"/>
    <w:rsid w:val="0067697E"/>
    <w:rsid w:val="00677443"/>
    <w:rsid w:val="0067769A"/>
    <w:rsid w:val="006806A3"/>
    <w:rsid w:val="006806A6"/>
    <w:rsid w:val="00681211"/>
    <w:rsid w:val="00681B36"/>
    <w:rsid w:val="00682DF5"/>
    <w:rsid w:val="00682E14"/>
    <w:rsid w:val="006835EE"/>
    <w:rsid w:val="00683706"/>
    <w:rsid w:val="0068436C"/>
    <w:rsid w:val="0068493C"/>
    <w:rsid w:val="0068545E"/>
    <w:rsid w:val="00685FD4"/>
    <w:rsid w:val="00685FFC"/>
    <w:rsid w:val="00686612"/>
    <w:rsid w:val="0068661E"/>
    <w:rsid w:val="0068780C"/>
    <w:rsid w:val="00690866"/>
    <w:rsid w:val="00690A49"/>
    <w:rsid w:val="00690BB6"/>
    <w:rsid w:val="00690C7B"/>
    <w:rsid w:val="00691366"/>
    <w:rsid w:val="00691B30"/>
    <w:rsid w:val="00693C22"/>
    <w:rsid w:val="00693E1F"/>
    <w:rsid w:val="00693ECB"/>
    <w:rsid w:val="00694797"/>
    <w:rsid w:val="00694992"/>
    <w:rsid w:val="006954E1"/>
    <w:rsid w:val="00695887"/>
    <w:rsid w:val="00695ACF"/>
    <w:rsid w:val="00696200"/>
    <w:rsid w:val="0069759F"/>
    <w:rsid w:val="00697733"/>
    <w:rsid w:val="00697BFB"/>
    <w:rsid w:val="006A0524"/>
    <w:rsid w:val="006A1BDD"/>
    <w:rsid w:val="006A22CB"/>
    <w:rsid w:val="006A254E"/>
    <w:rsid w:val="006A2A5E"/>
    <w:rsid w:val="006A2C30"/>
    <w:rsid w:val="006A301C"/>
    <w:rsid w:val="006A32F4"/>
    <w:rsid w:val="006A376A"/>
    <w:rsid w:val="006A3E2B"/>
    <w:rsid w:val="006A3FC2"/>
    <w:rsid w:val="006A4228"/>
    <w:rsid w:val="006A43C2"/>
    <w:rsid w:val="006A4F7F"/>
    <w:rsid w:val="006A5D4D"/>
    <w:rsid w:val="006A6081"/>
    <w:rsid w:val="006A62EF"/>
    <w:rsid w:val="006A6D4A"/>
    <w:rsid w:val="006A6E17"/>
    <w:rsid w:val="006B0411"/>
    <w:rsid w:val="006B120D"/>
    <w:rsid w:val="006B1511"/>
    <w:rsid w:val="006B17E7"/>
    <w:rsid w:val="006B19E8"/>
    <w:rsid w:val="006B1A8A"/>
    <w:rsid w:val="006B1FD5"/>
    <w:rsid w:val="006B36AD"/>
    <w:rsid w:val="006B555A"/>
    <w:rsid w:val="006B600A"/>
    <w:rsid w:val="006B6635"/>
    <w:rsid w:val="006B66DE"/>
    <w:rsid w:val="006B7870"/>
    <w:rsid w:val="006B7D22"/>
    <w:rsid w:val="006B7D2C"/>
    <w:rsid w:val="006C0BA7"/>
    <w:rsid w:val="006C1019"/>
    <w:rsid w:val="006C2BB5"/>
    <w:rsid w:val="006C2BEE"/>
    <w:rsid w:val="006C30BF"/>
    <w:rsid w:val="006C31E5"/>
    <w:rsid w:val="006C395C"/>
    <w:rsid w:val="006C3AD8"/>
    <w:rsid w:val="006C4516"/>
    <w:rsid w:val="006C455E"/>
    <w:rsid w:val="006C5958"/>
    <w:rsid w:val="006C5B4F"/>
    <w:rsid w:val="006C643C"/>
    <w:rsid w:val="006C6E3A"/>
    <w:rsid w:val="006C6FD7"/>
    <w:rsid w:val="006C7EA1"/>
    <w:rsid w:val="006D0035"/>
    <w:rsid w:val="006D00DB"/>
    <w:rsid w:val="006D0361"/>
    <w:rsid w:val="006D13BC"/>
    <w:rsid w:val="006D16B0"/>
    <w:rsid w:val="006D2182"/>
    <w:rsid w:val="006D221D"/>
    <w:rsid w:val="006D2444"/>
    <w:rsid w:val="006D254B"/>
    <w:rsid w:val="006D289B"/>
    <w:rsid w:val="006D3BE1"/>
    <w:rsid w:val="006D46D5"/>
    <w:rsid w:val="006D48FC"/>
    <w:rsid w:val="006D62BC"/>
    <w:rsid w:val="006D6450"/>
    <w:rsid w:val="006D6939"/>
    <w:rsid w:val="006D7200"/>
    <w:rsid w:val="006D7EB0"/>
    <w:rsid w:val="006E0138"/>
    <w:rsid w:val="006E0BB0"/>
    <w:rsid w:val="006E0F05"/>
    <w:rsid w:val="006E0F69"/>
    <w:rsid w:val="006E105A"/>
    <w:rsid w:val="006E12C3"/>
    <w:rsid w:val="006E1CF3"/>
    <w:rsid w:val="006E1F6E"/>
    <w:rsid w:val="006E2529"/>
    <w:rsid w:val="006E3F9F"/>
    <w:rsid w:val="006E45F3"/>
    <w:rsid w:val="006E4A2F"/>
    <w:rsid w:val="006E4ED4"/>
    <w:rsid w:val="006E540E"/>
    <w:rsid w:val="006E56F3"/>
    <w:rsid w:val="006E5E19"/>
    <w:rsid w:val="006E5FED"/>
    <w:rsid w:val="006E61C3"/>
    <w:rsid w:val="006E676A"/>
    <w:rsid w:val="006E799D"/>
    <w:rsid w:val="006E7B3F"/>
    <w:rsid w:val="006F0593"/>
    <w:rsid w:val="006F1064"/>
    <w:rsid w:val="006F117B"/>
    <w:rsid w:val="006F1912"/>
    <w:rsid w:val="006F1EB7"/>
    <w:rsid w:val="006F2934"/>
    <w:rsid w:val="006F2965"/>
    <w:rsid w:val="006F3483"/>
    <w:rsid w:val="006F3A3D"/>
    <w:rsid w:val="006F4388"/>
    <w:rsid w:val="006F52E5"/>
    <w:rsid w:val="006F554E"/>
    <w:rsid w:val="006F6066"/>
    <w:rsid w:val="006F6624"/>
    <w:rsid w:val="006F6850"/>
    <w:rsid w:val="006F707E"/>
    <w:rsid w:val="006F7420"/>
    <w:rsid w:val="006F7521"/>
    <w:rsid w:val="006F7E8F"/>
    <w:rsid w:val="006F7F57"/>
    <w:rsid w:val="007001DC"/>
    <w:rsid w:val="00702580"/>
    <w:rsid w:val="007025CB"/>
    <w:rsid w:val="007034AA"/>
    <w:rsid w:val="0070378E"/>
    <w:rsid w:val="00703A2C"/>
    <w:rsid w:val="00703C9D"/>
    <w:rsid w:val="00703CBE"/>
    <w:rsid w:val="0070490C"/>
    <w:rsid w:val="00705425"/>
    <w:rsid w:val="007057B2"/>
    <w:rsid w:val="00705C38"/>
    <w:rsid w:val="00706465"/>
    <w:rsid w:val="0070695A"/>
    <w:rsid w:val="0070782D"/>
    <w:rsid w:val="007109C2"/>
    <w:rsid w:val="00710CF4"/>
    <w:rsid w:val="00711340"/>
    <w:rsid w:val="00712C42"/>
    <w:rsid w:val="00713DE4"/>
    <w:rsid w:val="00714C47"/>
    <w:rsid w:val="00716462"/>
    <w:rsid w:val="007207DC"/>
    <w:rsid w:val="007209E6"/>
    <w:rsid w:val="00721084"/>
    <w:rsid w:val="00721262"/>
    <w:rsid w:val="00721483"/>
    <w:rsid w:val="007218F2"/>
    <w:rsid w:val="00721D9B"/>
    <w:rsid w:val="00722121"/>
    <w:rsid w:val="007224B9"/>
    <w:rsid w:val="00722F94"/>
    <w:rsid w:val="00723AA7"/>
    <w:rsid w:val="00724261"/>
    <w:rsid w:val="0072432E"/>
    <w:rsid w:val="00724712"/>
    <w:rsid w:val="007250FA"/>
    <w:rsid w:val="0072539B"/>
    <w:rsid w:val="00725439"/>
    <w:rsid w:val="00725AC8"/>
    <w:rsid w:val="00725AFA"/>
    <w:rsid w:val="00725FC3"/>
    <w:rsid w:val="00726036"/>
    <w:rsid w:val="00726279"/>
    <w:rsid w:val="00726A9B"/>
    <w:rsid w:val="00727415"/>
    <w:rsid w:val="00727530"/>
    <w:rsid w:val="00730DC8"/>
    <w:rsid w:val="00731E7C"/>
    <w:rsid w:val="007326BA"/>
    <w:rsid w:val="007329EF"/>
    <w:rsid w:val="0073327A"/>
    <w:rsid w:val="00734978"/>
    <w:rsid w:val="00734CD3"/>
    <w:rsid w:val="00734EBE"/>
    <w:rsid w:val="00736DD8"/>
    <w:rsid w:val="00737523"/>
    <w:rsid w:val="00737586"/>
    <w:rsid w:val="00740180"/>
    <w:rsid w:val="0074076A"/>
    <w:rsid w:val="00741AF4"/>
    <w:rsid w:val="00741DCC"/>
    <w:rsid w:val="0074203A"/>
    <w:rsid w:val="00742149"/>
    <w:rsid w:val="007427B5"/>
    <w:rsid w:val="007427C5"/>
    <w:rsid w:val="00742865"/>
    <w:rsid w:val="0074296C"/>
    <w:rsid w:val="00742A87"/>
    <w:rsid w:val="00742C83"/>
    <w:rsid w:val="00742CFF"/>
    <w:rsid w:val="00742D0A"/>
    <w:rsid w:val="00742EF5"/>
    <w:rsid w:val="0074340E"/>
    <w:rsid w:val="0074360F"/>
    <w:rsid w:val="00744A64"/>
    <w:rsid w:val="00744D47"/>
    <w:rsid w:val="00744EA0"/>
    <w:rsid w:val="0074638D"/>
    <w:rsid w:val="00746484"/>
    <w:rsid w:val="0074704F"/>
    <w:rsid w:val="00747F48"/>
    <w:rsid w:val="00747F4C"/>
    <w:rsid w:val="00750DA0"/>
    <w:rsid w:val="00751091"/>
    <w:rsid w:val="00751B83"/>
    <w:rsid w:val="007540B1"/>
    <w:rsid w:val="00754205"/>
    <w:rsid w:val="00754359"/>
    <w:rsid w:val="00754411"/>
    <w:rsid w:val="00754BD9"/>
    <w:rsid w:val="00754BFE"/>
    <w:rsid w:val="00754E7A"/>
    <w:rsid w:val="00754F86"/>
    <w:rsid w:val="0075540C"/>
    <w:rsid w:val="00755ABC"/>
    <w:rsid w:val="00755DB1"/>
    <w:rsid w:val="007562F2"/>
    <w:rsid w:val="00756572"/>
    <w:rsid w:val="007574FC"/>
    <w:rsid w:val="00760975"/>
    <w:rsid w:val="00760C4E"/>
    <w:rsid w:val="00761FDA"/>
    <w:rsid w:val="007621FF"/>
    <w:rsid w:val="0076298E"/>
    <w:rsid w:val="007634E3"/>
    <w:rsid w:val="00764194"/>
    <w:rsid w:val="007641CD"/>
    <w:rsid w:val="00764B4F"/>
    <w:rsid w:val="00765BD8"/>
    <w:rsid w:val="00765ED3"/>
    <w:rsid w:val="0076681D"/>
    <w:rsid w:val="00766A65"/>
    <w:rsid w:val="007671F5"/>
    <w:rsid w:val="007676B8"/>
    <w:rsid w:val="007706CC"/>
    <w:rsid w:val="00771124"/>
    <w:rsid w:val="0077175C"/>
    <w:rsid w:val="00771870"/>
    <w:rsid w:val="007718F1"/>
    <w:rsid w:val="00771BF9"/>
    <w:rsid w:val="00772F8A"/>
    <w:rsid w:val="007739C6"/>
    <w:rsid w:val="00774889"/>
    <w:rsid w:val="00774AE2"/>
    <w:rsid w:val="00774BD3"/>
    <w:rsid w:val="00774FF5"/>
    <w:rsid w:val="007750B3"/>
    <w:rsid w:val="00775749"/>
    <w:rsid w:val="00775C43"/>
    <w:rsid w:val="00775F76"/>
    <w:rsid w:val="00776AEA"/>
    <w:rsid w:val="00777BA0"/>
    <w:rsid w:val="00777EA0"/>
    <w:rsid w:val="0078016B"/>
    <w:rsid w:val="007803BD"/>
    <w:rsid w:val="007809BF"/>
    <w:rsid w:val="007811DC"/>
    <w:rsid w:val="007815FB"/>
    <w:rsid w:val="00781A45"/>
    <w:rsid w:val="007820FA"/>
    <w:rsid w:val="007824DD"/>
    <w:rsid w:val="00782591"/>
    <w:rsid w:val="0078285F"/>
    <w:rsid w:val="00783207"/>
    <w:rsid w:val="00783E1D"/>
    <w:rsid w:val="0078415C"/>
    <w:rsid w:val="007843D9"/>
    <w:rsid w:val="0078483B"/>
    <w:rsid w:val="00784ED5"/>
    <w:rsid w:val="00784EED"/>
    <w:rsid w:val="00785900"/>
    <w:rsid w:val="00785CD9"/>
    <w:rsid w:val="00786958"/>
    <w:rsid w:val="00786E71"/>
    <w:rsid w:val="007906B9"/>
    <w:rsid w:val="0079162F"/>
    <w:rsid w:val="0079179C"/>
    <w:rsid w:val="00791EE7"/>
    <w:rsid w:val="00793907"/>
    <w:rsid w:val="00793CBB"/>
    <w:rsid w:val="00794924"/>
    <w:rsid w:val="00794CB1"/>
    <w:rsid w:val="00796354"/>
    <w:rsid w:val="00797865"/>
    <w:rsid w:val="00797A46"/>
    <w:rsid w:val="007A05CA"/>
    <w:rsid w:val="007A0BC2"/>
    <w:rsid w:val="007A1F44"/>
    <w:rsid w:val="007A23FF"/>
    <w:rsid w:val="007A295B"/>
    <w:rsid w:val="007A3424"/>
    <w:rsid w:val="007A35EF"/>
    <w:rsid w:val="007A36C4"/>
    <w:rsid w:val="007A43A2"/>
    <w:rsid w:val="007A4D04"/>
    <w:rsid w:val="007A5804"/>
    <w:rsid w:val="007A6137"/>
    <w:rsid w:val="007A6E9F"/>
    <w:rsid w:val="007A76F0"/>
    <w:rsid w:val="007A7A96"/>
    <w:rsid w:val="007B03AF"/>
    <w:rsid w:val="007B0499"/>
    <w:rsid w:val="007B1108"/>
    <w:rsid w:val="007B1494"/>
    <w:rsid w:val="007B1543"/>
    <w:rsid w:val="007B16A6"/>
    <w:rsid w:val="007B1AC0"/>
    <w:rsid w:val="007B1CB8"/>
    <w:rsid w:val="007B270A"/>
    <w:rsid w:val="007B2D3B"/>
    <w:rsid w:val="007B3D99"/>
    <w:rsid w:val="007B4426"/>
    <w:rsid w:val="007B4DDA"/>
    <w:rsid w:val="007B52CD"/>
    <w:rsid w:val="007B571F"/>
    <w:rsid w:val="007B6173"/>
    <w:rsid w:val="007B6946"/>
    <w:rsid w:val="007B7513"/>
    <w:rsid w:val="007B7DC1"/>
    <w:rsid w:val="007B7EDB"/>
    <w:rsid w:val="007C1314"/>
    <w:rsid w:val="007C19AD"/>
    <w:rsid w:val="007C1A17"/>
    <w:rsid w:val="007C22BD"/>
    <w:rsid w:val="007C2876"/>
    <w:rsid w:val="007C2938"/>
    <w:rsid w:val="007C3598"/>
    <w:rsid w:val="007C3FA8"/>
    <w:rsid w:val="007C42B4"/>
    <w:rsid w:val="007C526F"/>
    <w:rsid w:val="007C52B2"/>
    <w:rsid w:val="007C5373"/>
    <w:rsid w:val="007C53C2"/>
    <w:rsid w:val="007C61B2"/>
    <w:rsid w:val="007C66D1"/>
    <w:rsid w:val="007C68DA"/>
    <w:rsid w:val="007C6BB6"/>
    <w:rsid w:val="007D1512"/>
    <w:rsid w:val="007D229A"/>
    <w:rsid w:val="007D253C"/>
    <w:rsid w:val="007D2B01"/>
    <w:rsid w:val="007D2F44"/>
    <w:rsid w:val="007D2F4D"/>
    <w:rsid w:val="007D3EC7"/>
    <w:rsid w:val="007D4178"/>
    <w:rsid w:val="007D4A1F"/>
    <w:rsid w:val="007D4D33"/>
    <w:rsid w:val="007D5738"/>
    <w:rsid w:val="007D57F0"/>
    <w:rsid w:val="007D5E1D"/>
    <w:rsid w:val="007D67AF"/>
    <w:rsid w:val="007D6C3E"/>
    <w:rsid w:val="007D7175"/>
    <w:rsid w:val="007E0AFF"/>
    <w:rsid w:val="007E0F0C"/>
    <w:rsid w:val="007E1369"/>
    <w:rsid w:val="007E1A1B"/>
    <w:rsid w:val="007E1A88"/>
    <w:rsid w:val="007E1E9A"/>
    <w:rsid w:val="007E22A6"/>
    <w:rsid w:val="007E2F1F"/>
    <w:rsid w:val="007E38E6"/>
    <w:rsid w:val="007E4C88"/>
    <w:rsid w:val="007E585E"/>
    <w:rsid w:val="007E5DD4"/>
    <w:rsid w:val="007E6F06"/>
    <w:rsid w:val="007E7237"/>
    <w:rsid w:val="007E7DDF"/>
    <w:rsid w:val="007F0E83"/>
    <w:rsid w:val="007F11C8"/>
    <w:rsid w:val="007F1CFB"/>
    <w:rsid w:val="007F220B"/>
    <w:rsid w:val="007F2703"/>
    <w:rsid w:val="007F27DD"/>
    <w:rsid w:val="007F4614"/>
    <w:rsid w:val="007F4E66"/>
    <w:rsid w:val="007F5DBA"/>
    <w:rsid w:val="007F6283"/>
    <w:rsid w:val="007F6322"/>
    <w:rsid w:val="007F661B"/>
    <w:rsid w:val="007F6880"/>
    <w:rsid w:val="007F6AA7"/>
    <w:rsid w:val="007F76B4"/>
    <w:rsid w:val="007F7B81"/>
    <w:rsid w:val="008001B4"/>
    <w:rsid w:val="00800769"/>
    <w:rsid w:val="00800ED2"/>
    <w:rsid w:val="0080237D"/>
    <w:rsid w:val="00802E74"/>
    <w:rsid w:val="00802E8C"/>
    <w:rsid w:val="00804B92"/>
    <w:rsid w:val="00804E21"/>
    <w:rsid w:val="00804E36"/>
    <w:rsid w:val="00805092"/>
    <w:rsid w:val="00806593"/>
    <w:rsid w:val="00806AAF"/>
    <w:rsid w:val="0080708E"/>
    <w:rsid w:val="008070AC"/>
    <w:rsid w:val="00807742"/>
    <w:rsid w:val="008078F3"/>
    <w:rsid w:val="00807AC2"/>
    <w:rsid w:val="008101FD"/>
    <w:rsid w:val="008103C0"/>
    <w:rsid w:val="00810D8D"/>
    <w:rsid w:val="00810FCA"/>
    <w:rsid w:val="008114C3"/>
    <w:rsid w:val="00811835"/>
    <w:rsid w:val="00813899"/>
    <w:rsid w:val="0081581D"/>
    <w:rsid w:val="00815CA8"/>
    <w:rsid w:val="008170CB"/>
    <w:rsid w:val="008172BE"/>
    <w:rsid w:val="008176F4"/>
    <w:rsid w:val="00817B71"/>
    <w:rsid w:val="00820244"/>
    <w:rsid w:val="00820F9D"/>
    <w:rsid w:val="008218EA"/>
    <w:rsid w:val="008221B3"/>
    <w:rsid w:val="0082248E"/>
    <w:rsid w:val="00822910"/>
    <w:rsid w:val="008230D9"/>
    <w:rsid w:val="008236D5"/>
    <w:rsid w:val="00824FDF"/>
    <w:rsid w:val="00825125"/>
    <w:rsid w:val="008257CC"/>
    <w:rsid w:val="00825C38"/>
    <w:rsid w:val="00826B67"/>
    <w:rsid w:val="008274BF"/>
    <w:rsid w:val="00830DC3"/>
    <w:rsid w:val="00831555"/>
    <w:rsid w:val="00831A90"/>
    <w:rsid w:val="00831F52"/>
    <w:rsid w:val="00832154"/>
    <w:rsid w:val="00832F5C"/>
    <w:rsid w:val="00833F7F"/>
    <w:rsid w:val="008342E1"/>
    <w:rsid w:val="00835322"/>
    <w:rsid w:val="00835644"/>
    <w:rsid w:val="0083571F"/>
    <w:rsid w:val="008359E0"/>
    <w:rsid w:val="00835AA1"/>
    <w:rsid w:val="0083619E"/>
    <w:rsid w:val="00837203"/>
    <w:rsid w:val="008376F6"/>
    <w:rsid w:val="00837D5B"/>
    <w:rsid w:val="00840607"/>
    <w:rsid w:val="00840F5E"/>
    <w:rsid w:val="00841CD2"/>
    <w:rsid w:val="00841DBE"/>
    <w:rsid w:val="00842B50"/>
    <w:rsid w:val="00842B77"/>
    <w:rsid w:val="0084309F"/>
    <w:rsid w:val="008432C4"/>
    <w:rsid w:val="0084363A"/>
    <w:rsid w:val="0084417C"/>
    <w:rsid w:val="00845C12"/>
    <w:rsid w:val="00845F61"/>
    <w:rsid w:val="008468BC"/>
    <w:rsid w:val="008469D9"/>
    <w:rsid w:val="00846DC0"/>
    <w:rsid w:val="008474A7"/>
    <w:rsid w:val="008506B6"/>
    <w:rsid w:val="00850AE0"/>
    <w:rsid w:val="008524D2"/>
    <w:rsid w:val="00852E19"/>
    <w:rsid w:val="008531B5"/>
    <w:rsid w:val="00856833"/>
    <w:rsid w:val="00856840"/>
    <w:rsid w:val="0086087C"/>
    <w:rsid w:val="00860D8E"/>
    <w:rsid w:val="0086275E"/>
    <w:rsid w:val="008629B5"/>
    <w:rsid w:val="00862DF7"/>
    <w:rsid w:val="00862F76"/>
    <w:rsid w:val="00864440"/>
    <w:rsid w:val="00864657"/>
    <w:rsid w:val="008648EB"/>
    <w:rsid w:val="00864D76"/>
    <w:rsid w:val="008650FC"/>
    <w:rsid w:val="00865BAE"/>
    <w:rsid w:val="00866776"/>
    <w:rsid w:val="00866E55"/>
    <w:rsid w:val="00866EB3"/>
    <w:rsid w:val="0086701A"/>
    <w:rsid w:val="00867797"/>
    <w:rsid w:val="00867BB2"/>
    <w:rsid w:val="00867BD2"/>
    <w:rsid w:val="00867CCB"/>
    <w:rsid w:val="00870C82"/>
    <w:rsid w:val="008712FD"/>
    <w:rsid w:val="008716A1"/>
    <w:rsid w:val="00871808"/>
    <w:rsid w:val="0087206F"/>
    <w:rsid w:val="00872B39"/>
    <w:rsid w:val="00872BA4"/>
    <w:rsid w:val="00872D3F"/>
    <w:rsid w:val="008733E4"/>
    <w:rsid w:val="008736A8"/>
    <w:rsid w:val="00873D19"/>
    <w:rsid w:val="00873F15"/>
    <w:rsid w:val="00874096"/>
    <w:rsid w:val="008756A4"/>
    <w:rsid w:val="00875F73"/>
    <w:rsid w:val="00876450"/>
    <w:rsid w:val="0088009B"/>
    <w:rsid w:val="00880F30"/>
    <w:rsid w:val="008812F5"/>
    <w:rsid w:val="00882107"/>
    <w:rsid w:val="008833E8"/>
    <w:rsid w:val="008837C8"/>
    <w:rsid w:val="008853E7"/>
    <w:rsid w:val="00886468"/>
    <w:rsid w:val="00886CE9"/>
    <w:rsid w:val="0088719C"/>
    <w:rsid w:val="008879DA"/>
    <w:rsid w:val="00887B48"/>
    <w:rsid w:val="008910EE"/>
    <w:rsid w:val="0089176E"/>
    <w:rsid w:val="008917E0"/>
    <w:rsid w:val="00892365"/>
    <w:rsid w:val="008927C5"/>
    <w:rsid w:val="00892BE5"/>
    <w:rsid w:val="0089387C"/>
    <w:rsid w:val="0089397B"/>
    <w:rsid w:val="0089444E"/>
    <w:rsid w:val="0089485F"/>
    <w:rsid w:val="008949DF"/>
    <w:rsid w:val="008951DB"/>
    <w:rsid w:val="0089619D"/>
    <w:rsid w:val="00896C81"/>
    <w:rsid w:val="00896D83"/>
    <w:rsid w:val="0089733A"/>
    <w:rsid w:val="0089798F"/>
    <w:rsid w:val="008A054B"/>
    <w:rsid w:val="008A062B"/>
    <w:rsid w:val="008A0AB2"/>
    <w:rsid w:val="008A0CFC"/>
    <w:rsid w:val="008A12FE"/>
    <w:rsid w:val="008A1D20"/>
    <w:rsid w:val="008A2010"/>
    <w:rsid w:val="008A20FB"/>
    <w:rsid w:val="008A28B6"/>
    <w:rsid w:val="008A2BB1"/>
    <w:rsid w:val="008A3466"/>
    <w:rsid w:val="008A389F"/>
    <w:rsid w:val="008A3D02"/>
    <w:rsid w:val="008A4E3F"/>
    <w:rsid w:val="008A53DB"/>
    <w:rsid w:val="008A5940"/>
    <w:rsid w:val="008A5979"/>
    <w:rsid w:val="008A5D48"/>
    <w:rsid w:val="008A73B2"/>
    <w:rsid w:val="008B043F"/>
    <w:rsid w:val="008B0753"/>
    <w:rsid w:val="008B0808"/>
    <w:rsid w:val="008B0AEC"/>
    <w:rsid w:val="008B176B"/>
    <w:rsid w:val="008B1E53"/>
    <w:rsid w:val="008B1E5B"/>
    <w:rsid w:val="008B389D"/>
    <w:rsid w:val="008B398E"/>
    <w:rsid w:val="008B3C5C"/>
    <w:rsid w:val="008B519B"/>
    <w:rsid w:val="008B5299"/>
    <w:rsid w:val="008B5A5F"/>
    <w:rsid w:val="008B5AB0"/>
    <w:rsid w:val="008B6054"/>
    <w:rsid w:val="008B7B08"/>
    <w:rsid w:val="008C0127"/>
    <w:rsid w:val="008C097A"/>
    <w:rsid w:val="008C0D31"/>
    <w:rsid w:val="008C13F0"/>
    <w:rsid w:val="008C17ED"/>
    <w:rsid w:val="008C1F26"/>
    <w:rsid w:val="008C2A3A"/>
    <w:rsid w:val="008C2B75"/>
    <w:rsid w:val="008C36D9"/>
    <w:rsid w:val="008C4C7E"/>
    <w:rsid w:val="008C5C46"/>
    <w:rsid w:val="008C6184"/>
    <w:rsid w:val="008C785E"/>
    <w:rsid w:val="008C7B02"/>
    <w:rsid w:val="008D09DE"/>
    <w:rsid w:val="008D0AFB"/>
    <w:rsid w:val="008D1511"/>
    <w:rsid w:val="008D26BC"/>
    <w:rsid w:val="008D2753"/>
    <w:rsid w:val="008D2ABE"/>
    <w:rsid w:val="008D32DF"/>
    <w:rsid w:val="008D35E9"/>
    <w:rsid w:val="008D3959"/>
    <w:rsid w:val="008D3966"/>
    <w:rsid w:val="008D4352"/>
    <w:rsid w:val="008D43F8"/>
    <w:rsid w:val="008D479C"/>
    <w:rsid w:val="008D60BC"/>
    <w:rsid w:val="008D6146"/>
    <w:rsid w:val="008D674A"/>
    <w:rsid w:val="008D6B01"/>
    <w:rsid w:val="008D6D7B"/>
    <w:rsid w:val="008D74B8"/>
    <w:rsid w:val="008D789B"/>
    <w:rsid w:val="008D7EB7"/>
    <w:rsid w:val="008E0EB8"/>
    <w:rsid w:val="008E10A6"/>
    <w:rsid w:val="008E1271"/>
    <w:rsid w:val="008E2251"/>
    <w:rsid w:val="008E24B3"/>
    <w:rsid w:val="008E24CA"/>
    <w:rsid w:val="008E2F6E"/>
    <w:rsid w:val="008E3117"/>
    <w:rsid w:val="008E38AD"/>
    <w:rsid w:val="008E3C22"/>
    <w:rsid w:val="008E3EEC"/>
    <w:rsid w:val="008E48C1"/>
    <w:rsid w:val="008E55C1"/>
    <w:rsid w:val="008E597F"/>
    <w:rsid w:val="008E5BF2"/>
    <w:rsid w:val="008E5C81"/>
    <w:rsid w:val="008E6708"/>
    <w:rsid w:val="008E6C60"/>
    <w:rsid w:val="008E7029"/>
    <w:rsid w:val="008E7B98"/>
    <w:rsid w:val="008E7E55"/>
    <w:rsid w:val="008F095E"/>
    <w:rsid w:val="008F0A38"/>
    <w:rsid w:val="008F0F0D"/>
    <w:rsid w:val="008F0F14"/>
    <w:rsid w:val="008F0F84"/>
    <w:rsid w:val="008F1014"/>
    <w:rsid w:val="008F11C9"/>
    <w:rsid w:val="008F1712"/>
    <w:rsid w:val="008F23D8"/>
    <w:rsid w:val="008F2FD5"/>
    <w:rsid w:val="008F37E5"/>
    <w:rsid w:val="008F3901"/>
    <w:rsid w:val="008F48C2"/>
    <w:rsid w:val="008F5840"/>
    <w:rsid w:val="008F5EEF"/>
    <w:rsid w:val="008F66FE"/>
    <w:rsid w:val="008F72CC"/>
    <w:rsid w:val="008F72CD"/>
    <w:rsid w:val="009005B7"/>
    <w:rsid w:val="00900E2E"/>
    <w:rsid w:val="00902178"/>
    <w:rsid w:val="00902BCA"/>
    <w:rsid w:val="00903802"/>
    <w:rsid w:val="009067E0"/>
    <w:rsid w:val="0090696D"/>
    <w:rsid w:val="00906CD6"/>
    <w:rsid w:val="00906E4D"/>
    <w:rsid w:val="00906F31"/>
    <w:rsid w:val="009070F7"/>
    <w:rsid w:val="0090752A"/>
    <w:rsid w:val="00907894"/>
    <w:rsid w:val="009078B3"/>
    <w:rsid w:val="00907A77"/>
    <w:rsid w:val="00907C4B"/>
    <w:rsid w:val="00907E00"/>
    <w:rsid w:val="0091023A"/>
    <w:rsid w:val="009103E6"/>
    <w:rsid w:val="00910548"/>
    <w:rsid w:val="0091088D"/>
    <w:rsid w:val="009108C6"/>
    <w:rsid w:val="00910FC9"/>
    <w:rsid w:val="009116A2"/>
    <w:rsid w:val="00912683"/>
    <w:rsid w:val="0091291A"/>
    <w:rsid w:val="00912DA6"/>
    <w:rsid w:val="00913612"/>
    <w:rsid w:val="0091366A"/>
    <w:rsid w:val="00913824"/>
    <w:rsid w:val="0091539B"/>
    <w:rsid w:val="0091562E"/>
    <w:rsid w:val="00915757"/>
    <w:rsid w:val="009159B3"/>
    <w:rsid w:val="00916181"/>
    <w:rsid w:val="00916944"/>
    <w:rsid w:val="00916D2C"/>
    <w:rsid w:val="00917221"/>
    <w:rsid w:val="00917D44"/>
    <w:rsid w:val="009204C5"/>
    <w:rsid w:val="0092180D"/>
    <w:rsid w:val="0092250D"/>
    <w:rsid w:val="009232C9"/>
    <w:rsid w:val="00923608"/>
    <w:rsid w:val="009237E3"/>
    <w:rsid w:val="009238E5"/>
    <w:rsid w:val="00923F12"/>
    <w:rsid w:val="0092461E"/>
    <w:rsid w:val="00924972"/>
    <w:rsid w:val="00924E63"/>
    <w:rsid w:val="00924FF8"/>
    <w:rsid w:val="009251F6"/>
    <w:rsid w:val="009255A8"/>
    <w:rsid w:val="00925BA8"/>
    <w:rsid w:val="00926DA7"/>
    <w:rsid w:val="00926FB2"/>
    <w:rsid w:val="00927F8B"/>
    <w:rsid w:val="0093094D"/>
    <w:rsid w:val="00930DBF"/>
    <w:rsid w:val="00930E82"/>
    <w:rsid w:val="00930FA3"/>
    <w:rsid w:val="00931BEF"/>
    <w:rsid w:val="009328C7"/>
    <w:rsid w:val="009336EC"/>
    <w:rsid w:val="00933D58"/>
    <w:rsid w:val="00933F56"/>
    <w:rsid w:val="0093426F"/>
    <w:rsid w:val="00934C13"/>
    <w:rsid w:val="00934C64"/>
    <w:rsid w:val="00935228"/>
    <w:rsid w:val="00935336"/>
    <w:rsid w:val="009355A2"/>
    <w:rsid w:val="00935F9E"/>
    <w:rsid w:val="00936741"/>
    <w:rsid w:val="00936D98"/>
    <w:rsid w:val="00936F41"/>
    <w:rsid w:val="009426B3"/>
    <w:rsid w:val="00942C80"/>
    <w:rsid w:val="0094316B"/>
    <w:rsid w:val="00943197"/>
    <w:rsid w:val="009435F2"/>
    <w:rsid w:val="00944121"/>
    <w:rsid w:val="009447BA"/>
    <w:rsid w:val="00944AB5"/>
    <w:rsid w:val="00945180"/>
    <w:rsid w:val="0094590C"/>
    <w:rsid w:val="00946355"/>
    <w:rsid w:val="009463BD"/>
    <w:rsid w:val="009465BB"/>
    <w:rsid w:val="009468B7"/>
    <w:rsid w:val="0094695D"/>
    <w:rsid w:val="00946D88"/>
    <w:rsid w:val="0094724E"/>
    <w:rsid w:val="00947575"/>
    <w:rsid w:val="00947973"/>
    <w:rsid w:val="00947BE6"/>
    <w:rsid w:val="0095048D"/>
    <w:rsid w:val="00950879"/>
    <w:rsid w:val="0095176E"/>
    <w:rsid w:val="00951ADB"/>
    <w:rsid w:val="0095380C"/>
    <w:rsid w:val="00954353"/>
    <w:rsid w:val="009549C8"/>
    <w:rsid w:val="0095573B"/>
    <w:rsid w:val="00955C0A"/>
    <w:rsid w:val="00955C4F"/>
    <w:rsid w:val="009571B7"/>
    <w:rsid w:val="00957656"/>
    <w:rsid w:val="0096012F"/>
    <w:rsid w:val="00962859"/>
    <w:rsid w:val="00963A4B"/>
    <w:rsid w:val="0096410D"/>
    <w:rsid w:val="0096541F"/>
    <w:rsid w:val="009657F1"/>
    <w:rsid w:val="00965D76"/>
    <w:rsid w:val="0096625D"/>
    <w:rsid w:val="009709F8"/>
    <w:rsid w:val="00972929"/>
    <w:rsid w:val="00972F91"/>
    <w:rsid w:val="00973401"/>
    <w:rsid w:val="00973827"/>
    <w:rsid w:val="00973A0E"/>
    <w:rsid w:val="009742D3"/>
    <w:rsid w:val="0097505D"/>
    <w:rsid w:val="00975D52"/>
    <w:rsid w:val="00975EB9"/>
    <w:rsid w:val="009761F0"/>
    <w:rsid w:val="00976753"/>
    <w:rsid w:val="00976DD6"/>
    <w:rsid w:val="009776E3"/>
    <w:rsid w:val="00977BA7"/>
    <w:rsid w:val="00981097"/>
    <w:rsid w:val="0098194F"/>
    <w:rsid w:val="00981C5A"/>
    <w:rsid w:val="00981DD3"/>
    <w:rsid w:val="009826C8"/>
    <w:rsid w:val="009836E4"/>
    <w:rsid w:val="00983EA7"/>
    <w:rsid w:val="00983F86"/>
    <w:rsid w:val="0098412F"/>
    <w:rsid w:val="0098441E"/>
    <w:rsid w:val="00984E0D"/>
    <w:rsid w:val="00985407"/>
    <w:rsid w:val="00985F28"/>
    <w:rsid w:val="00986149"/>
    <w:rsid w:val="00986176"/>
    <w:rsid w:val="00986827"/>
    <w:rsid w:val="00986E7F"/>
    <w:rsid w:val="00987536"/>
    <w:rsid w:val="00990BD5"/>
    <w:rsid w:val="00991041"/>
    <w:rsid w:val="0099196F"/>
    <w:rsid w:val="00992243"/>
    <w:rsid w:val="009922D0"/>
    <w:rsid w:val="00992A29"/>
    <w:rsid w:val="00992B98"/>
    <w:rsid w:val="00992EAE"/>
    <w:rsid w:val="0099359F"/>
    <w:rsid w:val="00993909"/>
    <w:rsid w:val="00993FE9"/>
    <w:rsid w:val="00993FFE"/>
    <w:rsid w:val="009944E3"/>
    <w:rsid w:val="00994869"/>
    <w:rsid w:val="00994871"/>
    <w:rsid w:val="009949C3"/>
    <w:rsid w:val="00994E08"/>
    <w:rsid w:val="009951F9"/>
    <w:rsid w:val="009957D1"/>
    <w:rsid w:val="00995AB3"/>
    <w:rsid w:val="00995AE8"/>
    <w:rsid w:val="00995C95"/>
    <w:rsid w:val="00995E85"/>
    <w:rsid w:val="00996468"/>
    <w:rsid w:val="00996876"/>
    <w:rsid w:val="00996FFA"/>
    <w:rsid w:val="009973F1"/>
    <w:rsid w:val="009973F3"/>
    <w:rsid w:val="0099753D"/>
    <w:rsid w:val="00997628"/>
    <w:rsid w:val="009978D2"/>
    <w:rsid w:val="009A010D"/>
    <w:rsid w:val="009A0429"/>
    <w:rsid w:val="009A0C6F"/>
    <w:rsid w:val="009A14EF"/>
    <w:rsid w:val="009A160A"/>
    <w:rsid w:val="009A1C91"/>
    <w:rsid w:val="009A2DF9"/>
    <w:rsid w:val="009A3410"/>
    <w:rsid w:val="009A3A86"/>
    <w:rsid w:val="009A3CB9"/>
    <w:rsid w:val="009A3CBD"/>
    <w:rsid w:val="009A4869"/>
    <w:rsid w:val="009A5CBA"/>
    <w:rsid w:val="009A68E5"/>
    <w:rsid w:val="009A6A6B"/>
    <w:rsid w:val="009B06D2"/>
    <w:rsid w:val="009B0758"/>
    <w:rsid w:val="009B1074"/>
    <w:rsid w:val="009B14C4"/>
    <w:rsid w:val="009B1BED"/>
    <w:rsid w:val="009B1EF9"/>
    <w:rsid w:val="009B26AC"/>
    <w:rsid w:val="009B2767"/>
    <w:rsid w:val="009B301D"/>
    <w:rsid w:val="009B37E2"/>
    <w:rsid w:val="009B4519"/>
    <w:rsid w:val="009B506B"/>
    <w:rsid w:val="009B57EF"/>
    <w:rsid w:val="009B5B85"/>
    <w:rsid w:val="009B6AF9"/>
    <w:rsid w:val="009B6E43"/>
    <w:rsid w:val="009B7204"/>
    <w:rsid w:val="009C0074"/>
    <w:rsid w:val="009C04A8"/>
    <w:rsid w:val="009C0564"/>
    <w:rsid w:val="009C0ECD"/>
    <w:rsid w:val="009C165D"/>
    <w:rsid w:val="009C1BC7"/>
    <w:rsid w:val="009C2685"/>
    <w:rsid w:val="009C2E66"/>
    <w:rsid w:val="009C3295"/>
    <w:rsid w:val="009C3565"/>
    <w:rsid w:val="009C3806"/>
    <w:rsid w:val="009C38AD"/>
    <w:rsid w:val="009C39BC"/>
    <w:rsid w:val="009C48AF"/>
    <w:rsid w:val="009C494A"/>
    <w:rsid w:val="009C4BC2"/>
    <w:rsid w:val="009C4BD1"/>
    <w:rsid w:val="009C4D22"/>
    <w:rsid w:val="009C4E1B"/>
    <w:rsid w:val="009C5734"/>
    <w:rsid w:val="009C5BEA"/>
    <w:rsid w:val="009C5DE5"/>
    <w:rsid w:val="009C5F7A"/>
    <w:rsid w:val="009C7320"/>
    <w:rsid w:val="009C75A8"/>
    <w:rsid w:val="009D0729"/>
    <w:rsid w:val="009D09C8"/>
    <w:rsid w:val="009D0F66"/>
    <w:rsid w:val="009D121F"/>
    <w:rsid w:val="009D13E9"/>
    <w:rsid w:val="009D1929"/>
    <w:rsid w:val="009D1A06"/>
    <w:rsid w:val="009D1BA4"/>
    <w:rsid w:val="009D22E4"/>
    <w:rsid w:val="009D22F7"/>
    <w:rsid w:val="009D25BB"/>
    <w:rsid w:val="009D2871"/>
    <w:rsid w:val="009D319C"/>
    <w:rsid w:val="009D4A14"/>
    <w:rsid w:val="009D4FA7"/>
    <w:rsid w:val="009D5BAB"/>
    <w:rsid w:val="009D606A"/>
    <w:rsid w:val="009D6A0A"/>
    <w:rsid w:val="009D7201"/>
    <w:rsid w:val="009D7825"/>
    <w:rsid w:val="009E0359"/>
    <w:rsid w:val="009E058F"/>
    <w:rsid w:val="009E07DB"/>
    <w:rsid w:val="009E0841"/>
    <w:rsid w:val="009E0911"/>
    <w:rsid w:val="009E0A9E"/>
    <w:rsid w:val="009E0FFC"/>
    <w:rsid w:val="009E19A2"/>
    <w:rsid w:val="009E1D33"/>
    <w:rsid w:val="009E2164"/>
    <w:rsid w:val="009E2DAB"/>
    <w:rsid w:val="009E3A8E"/>
    <w:rsid w:val="009E3AFD"/>
    <w:rsid w:val="009E3CDD"/>
    <w:rsid w:val="009E4B16"/>
    <w:rsid w:val="009E5C60"/>
    <w:rsid w:val="009E64DB"/>
    <w:rsid w:val="009E6794"/>
    <w:rsid w:val="009E6B05"/>
    <w:rsid w:val="009E7189"/>
    <w:rsid w:val="009E75B5"/>
    <w:rsid w:val="009E765F"/>
    <w:rsid w:val="009E7E46"/>
    <w:rsid w:val="009E7FC1"/>
    <w:rsid w:val="009F0035"/>
    <w:rsid w:val="009F01E1"/>
    <w:rsid w:val="009F0826"/>
    <w:rsid w:val="009F0B4D"/>
    <w:rsid w:val="009F0C8C"/>
    <w:rsid w:val="009F1096"/>
    <w:rsid w:val="009F150E"/>
    <w:rsid w:val="009F1EB4"/>
    <w:rsid w:val="009F27AD"/>
    <w:rsid w:val="009F2C62"/>
    <w:rsid w:val="009F3FB5"/>
    <w:rsid w:val="009F40E6"/>
    <w:rsid w:val="009F442A"/>
    <w:rsid w:val="009F46C0"/>
    <w:rsid w:val="009F4D2D"/>
    <w:rsid w:val="009F521F"/>
    <w:rsid w:val="009F553C"/>
    <w:rsid w:val="009F5718"/>
    <w:rsid w:val="009F59B3"/>
    <w:rsid w:val="009F59F8"/>
    <w:rsid w:val="009F63EB"/>
    <w:rsid w:val="00A005B0"/>
    <w:rsid w:val="00A00D6F"/>
    <w:rsid w:val="00A01F17"/>
    <w:rsid w:val="00A022A5"/>
    <w:rsid w:val="00A03A22"/>
    <w:rsid w:val="00A03A40"/>
    <w:rsid w:val="00A03C5D"/>
    <w:rsid w:val="00A04634"/>
    <w:rsid w:val="00A04FEF"/>
    <w:rsid w:val="00A06119"/>
    <w:rsid w:val="00A06A26"/>
    <w:rsid w:val="00A07A48"/>
    <w:rsid w:val="00A106AB"/>
    <w:rsid w:val="00A108EE"/>
    <w:rsid w:val="00A10BB8"/>
    <w:rsid w:val="00A11B20"/>
    <w:rsid w:val="00A1200D"/>
    <w:rsid w:val="00A12667"/>
    <w:rsid w:val="00A12D84"/>
    <w:rsid w:val="00A135B7"/>
    <w:rsid w:val="00A137E4"/>
    <w:rsid w:val="00A13F71"/>
    <w:rsid w:val="00A14813"/>
    <w:rsid w:val="00A14A61"/>
    <w:rsid w:val="00A1566A"/>
    <w:rsid w:val="00A164B1"/>
    <w:rsid w:val="00A165BF"/>
    <w:rsid w:val="00A168CE"/>
    <w:rsid w:val="00A172E8"/>
    <w:rsid w:val="00A179FF"/>
    <w:rsid w:val="00A17FB6"/>
    <w:rsid w:val="00A201FE"/>
    <w:rsid w:val="00A20946"/>
    <w:rsid w:val="00A2184A"/>
    <w:rsid w:val="00A21A36"/>
    <w:rsid w:val="00A22BE8"/>
    <w:rsid w:val="00A23974"/>
    <w:rsid w:val="00A24A93"/>
    <w:rsid w:val="00A25108"/>
    <w:rsid w:val="00A25294"/>
    <w:rsid w:val="00A254EE"/>
    <w:rsid w:val="00A25BE7"/>
    <w:rsid w:val="00A25C58"/>
    <w:rsid w:val="00A267E3"/>
    <w:rsid w:val="00A27008"/>
    <w:rsid w:val="00A27412"/>
    <w:rsid w:val="00A27CDF"/>
    <w:rsid w:val="00A309C6"/>
    <w:rsid w:val="00A30B7B"/>
    <w:rsid w:val="00A30D13"/>
    <w:rsid w:val="00A312DD"/>
    <w:rsid w:val="00A314F9"/>
    <w:rsid w:val="00A318E6"/>
    <w:rsid w:val="00A319D0"/>
    <w:rsid w:val="00A31ABE"/>
    <w:rsid w:val="00A32316"/>
    <w:rsid w:val="00A32738"/>
    <w:rsid w:val="00A32B33"/>
    <w:rsid w:val="00A32BE2"/>
    <w:rsid w:val="00A33172"/>
    <w:rsid w:val="00A33719"/>
    <w:rsid w:val="00A3432B"/>
    <w:rsid w:val="00A346BA"/>
    <w:rsid w:val="00A34C51"/>
    <w:rsid w:val="00A34C67"/>
    <w:rsid w:val="00A34D62"/>
    <w:rsid w:val="00A351F4"/>
    <w:rsid w:val="00A355C7"/>
    <w:rsid w:val="00A358CD"/>
    <w:rsid w:val="00A3611D"/>
    <w:rsid w:val="00A36339"/>
    <w:rsid w:val="00A366E4"/>
    <w:rsid w:val="00A36DA4"/>
    <w:rsid w:val="00A37EA2"/>
    <w:rsid w:val="00A400C8"/>
    <w:rsid w:val="00A40B9A"/>
    <w:rsid w:val="00A41163"/>
    <w:rsid w:val="00A4125C"/>
    <w:rsid w:val="00A41D6F"/>
    <w:rsid w:val="00A42121"/>
    <w:rsid w:val="00A43644"/>
    <w:rsid w:val="00A4376F"/>
    <w:rsid w:val="00A43CE8"/>
    <w:rsid w:val="00A440B8"/>
    <w:rsid w:val="00A44854"/>
    <w:rsid w:val="00A44B9F"/>
    <w:rsid w:val="00A45250"/>
    <w:rsid w:val="00A452F7"/>
    <w:rsid w:val="00A4549F"/>
    <w:rsid w:val="00A45B9B"/>
    <w:rsid w:val="00A462FE"/>
    <w:rsid w:val="00A47342"/>
    <w:rsid w:val="00A501C9"/>
    <w:rsid w:val="00A50506"/>
    <w:rsid w:val="00A507ED"/>
    <w:rsid w:val="00A51496"/>
    <w:rsid w:val="00A516B6"/>
    <w:rsid w:val="00A52CBE"/>
    <w:rsid w:val="00A52E2F"/>
    <w:rsid w:val="00A52F42"/>
    <w:rsid w:val="00A533F8"/>
    <w:rsid w:val="00A53E8D"/>
    <w:rsid w:val="00A53F55"/>
    <w:rsid w:val="00A5417B"/>
    <w:rsid w:val="00A54599"/>
    <w:rsid w:val="00A54B82"/>
    <w:rsid w:val="00A54C90"/>
    <w:rsid w:val="00A55431"/>
    <w:rsid w:val="00A555AC"/>
    <w:rsid w:val="00A5685D"/>
    <w:rsid w:val="00A569D4"/>
    <w:rsid w:val="00A57570"/>
    <w:rsid w:val="00A57F1A"/>
    <w:rsid w:val="00A60163"/>
    <w:rsid w:val="00A6038D"/>
    <w:rsid w:val="00A60CF0"/>
    <w:rsid w:val="00A61429"/>
    <w:rsid w:val="00A61514"/>
    <w:rsid w:val="00A61645"/>
    <w:rsid w:val="00A62080"/>
    <w:rsid w:val="00A630A2"/>
    <w:rsid w:val="00A632B8"/>
    <w:rsid w:val="00A63901"/>
    <w:rsid w:val="00A63BF3"/>
    <w:rsid w:val="00A6458F"/>
    <w:rsid w:val="00A64942"/>
    <w:rsid w:val="00A64B72"/>
    <w:rsid w:val="00A65911"/>
    <w:rsid w:val="00A6643C"/>
    <w:rsid w:val="00A67544"/>
    <w:rsid w:val="00A7075B"/>
    <w:rsid w:val="00A70B57"/>
    <w:rsid w:val="00A711D4"/>
    <w:rsid w:val="00A71CE6"/>
    <w:rsid w:val="00A71D23"/>
    <w:rsid w:val="00A7333A"/>
    <w:rsid w:val="00A73D0D"/>
    <w:rsid w:val="00A74A92"/>
    <w:rsid w:val="00A75A92"/>
    <w:rsid w:val="00A75CC1"/>
    <w:rsid w:val="00A75E88"/>
    <w:rsid w:val="00A8041E"/>
    <w:rsid w:val="00A8056E"/>
    <w:rsid w:val="00A809FA"/>
    <w:rsid w:val="00A81067"/>
    <w:rsid w:val="00A81DF2"/>
    <w:rsid w:val="00A82655"/>
    <w:rsid w:val="00A82D58"/>
    <w:rsid w:val="00A8399D"/>
    <w:rsid w:val="00A83E3D"/>
    <w:rsid w:val="00A83F6C"/>
    <w:rsid w:val="00A8443A"/>
    <w:rsid w:val="00A84479"/>
    <w:rsid w:val="00A8479C"/>
    <w:rsid w:val="00A8557B"/>
    <w:rsid w:val="00A8583A"/>
    <w:rsid w:val="00A85A05"/>
    <w:rsid w:val="00A85C65"/>
    <w:rsid w:val="00A85E18"/>
    <w:rsid w:val="00A86230"/>
    <w:rsid w:val="00A86B2E"/>
    <w:rsid w:val="00A86D63"/>
    <w:rsid w:val="00A87797"/>
    <w:rsid w:val="00A87EA4"/>
    <w:rsid w:val="00A90E72"/>
    <w:rsid w:val="00A922A2"/>
    <w:rsid w:val="00A92F10"/>
    <w:rsid w:val="00A9327B"/>
    <w:rsid w:val="00A934B2"/>
    <w:rsid w:val="00A936EC"/>
    <w:rsid w:val="00A93732"/>
    <w:rsid w:val="00A93B69"/>
    <w:rsid w:val="00A963C7"/>
    <w:rsid w:val="00A96AB9"/>
    <w:rsid w:val="00A974CC"/>
    <w:rsid w:val="00A97801"/>
    <w:rsid w:val="00A97E7F"/>
    <w:rsid w:val="00AA0215"/>
    <w:rsid w:val="00AA1626"/>
    <w:rsid w:val="00AA1C25"/>
    <w:rsid w:val="00AA2BCB"/>
    <w:rsid w:val="00AA3DB7"/>
    <w:rsid w:val="00AA41DA"/>
    <w:rsid w:val="00AA4531"/>
    <w:rsid w:val="00AA5167"/>
    <w:rsid w:val="00AA51F5"/>
    <w:rsid w:val="00AA53B1"/>
    <w:rsid w:val="00AA5E3B"/>
    <w:rsid w:val="00AA647D"/>
    <w:rsid w:val="00AA6695"/>
    <w:rsid w:val="00AA68B4"/>
    <w:rsid w:val="00AA7121"/>
    <w:rsid w:val="00AA7668"/>
    <w:rsid w:val="00AB0543"/>
    <w:rsid w:val="00AB0AC9"/>
    <w:rsid w:val="00AB185A"/>
    <w:rsid w:val="00AB1BA7"/>
    <w:rsid w:val="00AB1E04"/>
    <w:rsid w:val="00AB29CF"/>
    <w:rsid w:val="00AB3113"/>
    <w:rsid w:val="00AB348A"/>
    <w:rsid w:val="00AB3F38"/>
    <w:rsid w:val="00AB43B9"/>
    <w:rsid w:val="00AB43EC"/>
    <w:rsid w:val="00AB4BF4"/>
    <w:rsid w:val="00AB5ADF"/>
    <w:rsid w:val="00AB5C28"/>
    <w:rsid w:val="00AB5E57"/>
    <w:rsid w:val="00AB6112"/>
    <w:rsid w:val="00AB68C0"/>
    <w:rsid w:val="00AB6CFA"/>
    <w:rsid w:val="00AB725F"/>
    <w:rsid w:val="00AC0705"/>
    <w:rsid w:val="00AC109B"/>
    <w:rsid w:val="00AC1993"/>
    <w:rsid w:val="00AC2BBD"/>
    <w:rsid w:val="00AC4128"/>
    <w:rsid w:val="00AC4569"/>
    <w:rsid w:val="00AC57E0"/>
    <w:rsid w:val="00AC582F"/>
    <w:rsid w:val="00AC6729"/>
    <w:rsid w:val="00AC6D6D"/>
    <w:rsid w:val="00AC74DA"/>
    <w:rsid w:val="00AC75A5"/>
    <w:rsid w:val="00AC7A2B"/>
    <w:rsid w:val="00AC7C25"/>
    <w:rsid w:val="00AD0622"/>
    <w:rsid w:val="00AD0A51"/>
    <w:rsid w:val="00AD0B37"/>
    <w:rsid w:val="00AD11F7"/>
    <w:rsid w:val="00AD1DB7"/>
    <w:rsid w:val="00AD2852"/>
    <w:rsid w:val="00AD2DD1"/>
    <w:rsid w:val="00AD3976"/>
    <w:rsid w:val="00AD493C"/>
    <w:rsid w:val="00AD4D2A"/>
    <w:rsid w:val="00AD542F"/>
    <w:rsid w:val="00AD585C"/>
    <w:rsid w:val="00AD6250"/>
    <w:rsid w:val="00AD6378"/>
    <w:rsid w:val="00AD7305"/>
    <w:rsid w:val="00AD7B47"/>
    <w:rsid w:val="00AD7E64"/>
    <w:rsid w:val="00AE0C56"/>
    <w:rsid w:val="00AE149E"/>
    <w:rsid w:val="00AE22F2"/>
    <w:rsid w:val="00AE2765"/>
    <w:rsid w:val="00AE29FC"/>
    <w:rsid w:val="00AE2F3F"/>
    <w:rsid w:val="00AE3B4E"/>
    <w:rsid w:val="00AE40E5"/>
    <w:rsid w:val="00AE4AD0"/>
    <w:rsid w:val="00AE52AD"/>
    <w:rsid w:val="00AE5899"/>
    <w:rsid w:val="00AE59EC"/>
    <w:rsid w:val="00AE6597"/>
    <w:rsid w:val="00AE67B3"/>
    <w:rsid w:val="00AE7864"/>
    <w:rsid w:val="00AE7949"/>
    <w:rsid w:val="00AF01E7"/>
    <w:rsid w:val="00AF0C1B"/>
    <w:rsid w:val="00AF2005"/>
    <w:rsid w:val="00AF2069"/>
    <w:rsid w:val="00AF23D9"/>
    <w:rsid w:val="00AF25D5"/>
    <w:rsid w:val="00AF29EE"/>
    <w:rsid w:val="00AF2DE7"/>
    <w:rsid w:val="00AF33F6"/>
    <w:rsid w:val="00AF3DBB"/>
    <w:rsid w:val="00AF5194"/>
    <w:rsid w:val="00AF53EF"/>
    <w:rsid w:val="00AF73C3"/>
    <w:rsid w:val="00AF795C"/>
    <w:rsid w:val="00AF7CAC"/>
    <w:rsid w:val="00AF7DD2"/>
    <w:rsid w:val="00B00752"/>
    <w:rsid w:val="00B01CC1"/>
    <w:rsid w:val="00B026C1"/>
    <w:rsid w:val="00B02B9C"/>
    <w:rsid w:val="00B0353B"/>
    <w:rsid w:val="00B040B2"/>
    <w:rsid w:val="00B05ACC"/>
    <w:rsid w:val="00B0621C"/>
    <w:rsid w:val="00B068C1"/>
    <w:rsid w:val="00B06C25"/>
    <w:rsid w:val="00B0719A"/>
    <w:rsid w:val="00B1026D"/>
    <w:rsid w:val="00B10396"/>
    <w:rsid w:val="00B10558"/>
    <w:rsid w:val="00B11B20"/>
    <w:rsid w:val="00B11B65"/>
    <w:rsid w:val="00B13064"/>
    <w:rsid w:val="00B1384D"/>
    <w:rsid w:val="00B139E5"/>
    <w:rsid w:val="00B156A9"/>
    <w:rsid w:val="00B15B3C"/>
    <w:rsid w:val="00B15F83"/>
    <w:rsid w:val="00B160FF"/>
    <w:rsid w:val="00B16322"/>
    <w:rsid w:val="00B1645C"/>
    <w:rsid w:val="00B1662E"/>
    <w:rsid w:val="00B16A6F"/>
    <w:rsid w:val="00B1784F"/>
    <w:rsid w:val="00B17D81"/>
    <w:rsid w:val="00B20985"/>
    <w:rsid w:val="00B22258"/>
    <w:rsid w:val="00B225EB"/>
    <w:rsid w:val="00B22C0D"/>
    <w:rsid w:val="00B22E8C"/>
    <w:rsid w:val="00B23201"/>
    <w:rsid w:val="00B23AC9"/>
    <w:rsid w:val="00B23AF4"/>
    <w:rsid w:val="00B23B85"/>
    <w:rsid w:val="00B23C15"/>
    <w:rsid w:val="00B24A03"/>
    <w:rsid w:val="00B25762"/>
    <w:rsid w:val="00B25B40"/>
    <w:rsid w:val="00B25FDE"/>
    <w:rsid w:val="00B269AB"/>
    <w:rsid w:val="00B26AB0"/>
    <w:rsid w:val="00B26AD2"/>
    <w:rsid w:val="00B26AF0"/>
    <w:rsid w:val="00B26CA2"/>
    <w:rsid w:val="00B27165"/>
    <w:rsid w:val="00B27412"/>
    <w:rsid w:val="00B30B4E"/>
    <w:rsid w:val="00B30FA7"/>
    <w:rsid w:val="00B31246"/>
    <w:rsid w:val="00B326FF"/>
    <w:rsid w:val="00B33024"/>
    <w:rsid w:val="00B340AA"/>
    <w:rsid w:val="00B34A9F"/>
    <w:rsid w:val="00B34B1B"/>
    <w:rsid w:val="00B34B80"/>
    <w:rsid w:val="00B35CDA"/>
    <w:rsid w:val="00B3629A"/>
    <w:rsid w:val="00B36EF9"/>
    <w:rsid w:val="00B37086"/>
    <w:rsid w:val="00B37351"/>
    <w:rsid w:val="00B37597"/>
    <w:rsid w:val="00B37D97"/>
    <w:rsid w:val="00B37FB4"/>
    <w:rsid w:val="00B40143"/>
    <w:rsid w:val="00B40C0A"/>
    <w:rsid w:val="00B40FCF"/>
    <w:rsid w:val="00B411BD"/>
    <w:rsid w:val="00B41559"/>
    <w:rsid w:val="00B418E8"/>
    <w:rsid w:val="00B41CBE"/>
    <w:rsid w:val="00B42285"/>
    <w:rsid w:val="00B4274B"/>
    <w:rsid w:val="00B42C1F"/>
    <w:rsid w:val="00B43307"/>
    <w:rsid w:val="00B435B1"/>
    <w:rsid w:val="00B4367F"/>
    <w:rsid w:val="00B43698"/>
    <w:rsid w:val="00B438BA"/>
    <w:rsid w:val="00B43C95"/>
    <w:rsid w:val="00B448A5"/>
    <w:rsid w:val="00B44F99"/>
    <w:rsid w:val="00B45876"/>
    <w:rsid w:val="00B46632"/>
    <w:rsid w:val="00B46DC9"/>
    <w:rsid w:val="00B473C7"/>
    <w:rsid w:val="00B50AD6"/>
    <w:rsid w:val="00B51542"/>
    <w:rsid w:val="00B51D1D"/>
    <w:rsid w:val="00B5310E"/>
    <w:rsid w:val="00B5313B"/>
    <w:rsid w:val="00B54ACC"/>
    <w:rsid w:val="00B54DCB"/>
    <w:rsid w:val="00B551B6"/>
    <w:rsid w:val="00B55244"/>
    <w:rsid w:val="00B55AC2"/>
    <w:rsid w:val="00B560C9"/>
    <w:rsid w:val="00B56333"/>
    <w:rsid w:val="00B56533"/>
    <w:rsid w:val="00B56CFC"/>
    <w:rsid w:val="00B5700C"/>
    <w:rsid w:val="00B57777"/>
    <w:rsid w:val="00B57A17"/>
    <w:rsid w:val="00B57B0E"/>
    <w:rsid w:val="00B57B43"/>
    <w:rsid w:val="00B57C46"/>
    <w:rsid w:val="00B61BE2"/>
    <w:rsid w:val="00B6266F"/>
    <w:rsid w:val="00B62DFC"/>
    <w:rsid w:val="00B62E0B"/>
    <w:rsid w:val="00B6391F"/>
    <w:rsid w:val="00B63C32"/>
    <w:rsid w:val="00B63F18"/>
    <w:rsid w:val="00B64434"/>
    <w:rsid w:val="00B64C34"/>
    <w:rsid w:val="00B64F54"/>
    <w:rsid w:val="00B661CC"/>
    <w:rsid w:val="00B707AE"/>
    <w:rsid w:val="00B711CE"/>
    <w:rsid w:val="00B7131C"/>
    <w:rsid w:val="00B71674"/>
    <w:rsid w:val="00B71941"/>
    <w:rsid w:val="00B71D83"/>
    <w:rsid w:val="00B71DC8"/>
    <w:rsid w:val="00B72874"/>
    <w:rsid w:val="00B745C5"/>
    <w:rsid w:val="00B746C6"/>
    <w:rsid w:val="00B7604C"/>
    <w:rsid w:val="00B7652C"/>
    <w:rsid w:val="00B766BF"/>
    <w:rsid w:val="00B76FA6"/>
    <w:rsid w:val="00B80910"/>
    <w:rsid w:val="00B80D03"/>
    <w:rsid w:val="00B811E2"/>
    <w:rsid w:val="00B818F4"/>
    <w:rsid w:val="00B81BC9"/>
    <w:rsid w:val="00B81D8C"/>
    <w:rsid w:val="00B8222F"/>
    <w:rsid w:val="00B82582"/>
    <w:rsid w:val="00B82615"/>
    <w:rsid w:val="00B8295B"/>
    <w:rsid w:val="00B83444"/>
    <w:rsid w:val="00B836ED"/>
    <w:rsid w:val="00B848CE"/>
    <w:rsid w:val="00B84EEB"/>
    <w:rsid w:val="00B84F9A"/>
    <w:rsid w:val="00B853BE"/>
    <w:rsid w:val="00B86151"/>
    <w:rsid w:val="00B8635A"/>
    <w:rsid w:val="00B86476"/>
    <w:rsid w:val="00B86A3D"/>
    <w:rsid w:val="00B86AAC"/>
    <w:rsid w:val="00B86BE8"/>
    <w:rsid w:val="00B875C7"/>
    <w:rsid w:val="00B90D10"/>
    <w:rsid w:val="00B90FE5"/>
    <w:rsid w:val="00B9136C"/>
    <w:rsid w:val="00B919AD"/>
    <w:rsid w:val="00B91A2B"/>
    <w:rsid w:val="00B926BC"/>
    <w:rsid w:val="00B93204"/>
    <w:rsid w:val="00B93369"/>
    <w:rsid w:val="00B93E67"/>
    <w:rsid w:val="00B93EBD"/>
    <w:rsid w:val="00B94E17"/>
    <w:rsid w:val="00B95149"/>
    <w:rsid w:val="00B957FE"/>
    <w:rsid w:val="00B95F02"/>
    <w:rsid w:val="00B9640B"/>
    <w:rsid w:val="00B96BEF"/>
    <w:rsid w:val="00B96FC0"/>
    <w:rsid w:val="00B97260"/>
    <w:rsid w:val="00B97A69"/>
    <w:rsid w:val="00BA0632"/>
    <w:rsid w:val="00BA0AAA"/>
    <w:rsid w:val="00BA0DFB"/>
    <w:rsid w:val="00BA1FE4"/>
    <w:rsid w:val="00BA2BD5"/>
    <w:rsid w:val="00BA2D65"/>
    <w:rsid w:val="00BA2FEF"/>
    <w:rsid w:val="00BA4141"/>
    <w:rsid w:val="00BA64AB"/>
    <w:rsid w:val="00BA7ADB"/>
    <w:rsid w:val="00BB1548"/>
    <w:rsid w:val="00BB1CE7"/>
    <w:rsid w:val="00BB2DFA"/>
    <w:rsid w:val="00BB2FD3"/>
    <w:rsid w:val="00BB2FDF"/>
    <w:rsid w:val="00BB2FFF"/>
    <w:rsid w:val="00BB300A"/>
    <w:rsid w:val="00BB3263"/>
    <w:rsid w:val="00BB4CB4"/>
    <w:rsid w:val="00BB4D61"/>
    <w:rsid w:val="00BB56AF"/>
    <w:rsid w:val="00BB5FCB"/>
    <w:rsid w:val="00BB604B"/>
    <w:rsid w:val="00BB668B"/>
    <w:rsid w:val="00BB7A1D"/>
    <w:rsid w:val="00BC00EC"/>
    <w:rsid w:val="00BC08BE"/>
    <w:rsid w:val="00BC08C5"/>
    <w:rsid w:val="00BC0F97"/>
    <w:rsid w:val="00BC12FB"/>
    <w:rsid w:val="00BC1C3C"/>
    <w:rsid w:val="00BC1EDA"/>
    <w:rsid w:val="00BC307F"/>
    <w:rsid w:val="00BC3159"/>
    <w:rsid w:val="00BC3257"/>
    <w:rsid w:val="00BC39DB"/>
    <w:rsid w:val="00BC3A32"/>
    <w:rsid w:val="00BC3A5E"/>
    <w:rsid w:val="00BC3B07"/>
    <w:rsid w:val="00BC3CAB"/>
    <w:rsid w:val="00BC46EF"/>
    <w:rsid w:val="00BC6FC7"/>
    <w:rsid w:val="00BC6FD6"/>
    <w:rsid w:val="00BD008E"/>
    <w:rsid w:val="00BD2F3B"/>
    <w:rsid w:val="00BD2FA4"/>
    <w:rsid w:val="00BD3372"/>
    <w:rsid w:val="00BD4C3C"/>
    <w:rsid w:val="00BD50AA"/>
    <w:rsid w:val="00BD5135"/>
    <w:rsid w:val="00BD5B0B"/>
    <w:rsid w:val="00BD65C4"/>
    <w:rsid w:val="00BD6AB5"/>
    <w:rsid w:val="00BD7291"/>
    <w:rsid w:val="00BD7688"/>
    <w:rsid w:val="00BD7C09"/>
    <w:rsid w:val="00BD7EA3"/>
    <w:rsid w:val="00BD7FE2"/>
    <w:rsid w:val="00BE0B19"/>
    <w:rsid w:val="00BE0C02"/>
    <w:rsid w:val="00BE0DA8"/>
    <w:rsid w:val="00BE0DD8"/>
    <w:rsid w:val="00BE19C5"/>
    <w:rsid w:val="00BE1D82"/>
    <w:rsid w:val="00BE1EE4"/>
    <w:rsid w:val="00BE1F8B"/>
    <w:rsid w:val="00BE2B4F"/>
    <w:rsid w:val="00BE2F39"/>
    <w:rsid w:val="00BE2F69"/>
    <w:rsid w:val="00BE3204"/>
    <w:rsid w:val="00BE332D"/>
    <w:rsid w:val="00BE3627"/>
    <w:rsid w:val="00BE36FB"/>
    <w:rsid w:val="00BE3CF1"/>
    <w:rsid w:val="00BE4A0A"/>
    <w:rsid w:val="00BE4AA3"/>
    <w:rsid w:val="00BE4B20"/>
    <w:rsid w:val="00BE5CC0"/>
    <w:rsid w:val="00BE5FC4"/>
    <w:rsid w:val="00BE62B0"/>
    <w:rsid w:val="00BE6EE2"/>
    <w:rsid w:val="00BE7C4D"/>
    <w:rsid w:val="00BE7F6A"/>
    <w:rsid w:val="00BF0274"/>
    <w:rsid w:val="00BF057A"/>
    <w:rsid w:val="00BF08C4"/>
    <w:rsid w:val="00BF0BAF"/>
    <w:rsid w:val="00BF19CE"/>
    <w:rsid w:val="00BF2AC3"/>
    <w:rsid w:val="00BF2B6F"/>
    <w:rsid w:val="00BF351A"/>
    <w:rsid w:val="00BF3914"/>
    <w:rsid w:val="00BF49B1"/>
    <w:rsid w:val="00BF553B"/>
    <w:rsid w:val="00BF5552"/>
    <w:rsid w:val="00BF56DF"/>
    <w:rsid w:val="00BF5936"/>
    <w:rsid w:val="00BF5D87"/>
    <w:rsid w:val="00BF6D33"/>
    <w:rsid w:val="00BF6E9F"/>
    <w:rsid w:val="00BF6ECB"/>
    <w:rsid w:val="00BF73F2"/>
    <w:rsid w:val="00C007F0"/>
    <w:rsid w:val="00C01671"/>
    <w:rsid w:val="00C02278"/>
    <w:rsid w:val="00C02419"/>
    <w:rsid w:val="00C02766"/>
    <w:rsid w:val="00C03638"/>
    <w:rsid w:val="00C03EE8"/>
    <w:rsid w:val="00C04563"/>
    <w:rsid w:val="00C0456A"/>
    <w:rsid w:val="00C04948"/>
    <w:rsid w:val="00C0549A"/>
    <w:rsid w:val="00C05BEC"/>
    <w:rsid w:val="00C06538"/>
    <w:rsid w:val="00C0677C"/>
    <w:rsid w:val="00C06A43"/>
    <w:rsid w:val="00C06A7C"/>
    <w:rsid w:val="00C06E7D"/>
    <w:rsid w:val="00C07432"/>
    <w:rsid w:val="00C07CA6"/>
    <w:rsid w:val="00C1041F"/>
    <w:rsid w:val="00C1112B"/>
    <w:rsid w:val="00C11978"/>
    <w:rsid w:val="00C11A88"/>
    <w:rsid w:val="00C12012"/>
    <w:rsid w:val="00C12874"/>
    <w:rsid w:val="00C12BC1"/>
    <w:rsid w:val="00C12C5D"/>
    <w:rsid w:val="00C12FCF"/>
    <w:rsid w:val="00C13BDA"/>
    <w:rsid w:val="00C13FFD"/>
    <w:rsid w:val="00C14632"/>
    <w:rsid w:val="00C16C30"/>
    <w:rsid w:val="00C20A00"/>
    <w:rsid w:val="00C20D6D"/>
    <w:rsid w:val="00C20F3A"/>
    <w:rsid w:val="00C20FAC"/>
    <w:rsid w:val="00C21097"/>
    <w:rsid w:val="00C21673"/>
    <w:rsid w:val="00C21C7A"/>
    <w:rsid w:val="00C223DB"/>
    <w:rsid w:val="00C2254E"/>
    <w:rsid w:val="00C22C06"/>
    <w:rsid w:val="00C22F10"/>
    <w:rsid w:val="00C23130"/>
    <w:rsid w:val="00C232F1"/>
    <w:rsid w:val="00C243B7"/>
    <w:rsid w:val="00C2449B"/>
    <w:rsid w:val="00C24835"/>
    <w:rsid w:val="00C249D3"/>
    <w:rsid w:val="00C255A5"/>
    <w:rsid w:val="00C2584B"/>
    <w:rsid w:val="00C25942"/>
    <w:rsid w:val="00C25DD9"/>
    <w:rsid w:val="00C2663F"/>
    <w:rsid w:val="00C26AB0"/>
    <w:rsid w:val="00C26DB8"/>
    <w:rsid w:val="00C3098E"/>
    <w:rsid w:val="00C30C07"/>
    <w:rsid w:val="00C31F59"/>
    <w:rsid w:val="00C31FD2"/>
    <w:rsid w:val="00C32187"/>
    <w:rsid w:val="00C321BC"/>
    <w:rsid w:val="00C33269"/>
    <w:rsid w:val="00C3363F"/>
    <w:rsid w:val="00C3384D"/>
    <w:rsid w:val="00C3400F"/>
    <w:rsid w:val="00C34B64"/>
    <w:rsid w:val="00C34C36"/>
    <w:rsid w:val="00C34EB1"/>
    <w:rsid w:val="00C352B3"/>
    <w:rsid w:val="00C3654C"/>
    <w:rsid w:val="00C36555"/>
    <w:rsid w:val="00C36BF5"/>
    <w:rsid w:val="00C36DBC"/>
    <w:rsid w:val="00C376BA"/>
    <w:rsid w:val="00C40373"/>
    <w:rsid w:val="00C4082D"/>
    <w:rsid w:val="00C40AE6"/>
    <w:rsid w:val="00C411AF"/>
    <w:rsid w:val="00C4138D"/>
    <w:rsid w:val="00C41663"/>
    <w:rsid w:val="00C41E3A"/>
    <w:rsid w:val="00C42902"/>
    <w:rsid w:val="00C42DB7"/>
    <w:rsid w:val="00C4304C"/>
    <w:rsid w:val="00C43315"/>
    <w:rsid w:val="00C44E2D"/>
    <w:rsid w:val="00C452F5"/>
    <w:rsid w:val="00C45B72"/>
    <w:rsid w:val="00C45D45"/>
    <w:rsid w:val="00C46313"/>
    <w:rsid w:val="00C46555"/>
    <w:rsid w:val="00C46B15"/>
    <w:rsid w:val="00C46F7D"/>
    <w:rsid w:val="00C479B5"/>
    <w:rsid w:val="00C47C7F"/>
    <w:rsid w:val="00C50242"/>
    <w:rsid w:val="00C5034D"/>
    <w:rsid w:val="00C5050E"/>
    <w:rsid w:val="00C50E99"/>
    <w:rsid w:val="00C51A51"/>
    <w:rsid w:val="00C52744"/>
    <w:rsid w:val="00C52D64"/>
    <w:rsid w:val="00C53EB3"/>
    <w:rsid w:val="00C542D4"/>
    <w:rsid w:val="00C549EF"/>
    <w:rsid w:val="00C54D71"/>
    <w:rsid w:val="00C554F7"/>
    <w:rsid w:val="00C55B38"/>
    <w:rsid w:val="00C55F63"/>
    <w:rsid w:val="00C563F5"/>
    <w:rsid w:val="00C56C18"/>
    <w:rsid w:val="00C56D08"/>
    <w:rsid w:val="00C56EF4"/>
    <w:rsid w:val="00C570F7"/>
    <w:rsid w:val="00C5725D"/>
    <w:rsid w:val="00C576EF"/>
    <w:rsid w:val="00C61839"/>
    <w:rsid w:val="00C6298F"/>
    <w:rsid w:val="00C62CD5"/>
    <w:rsid w:val="00C636E6"/>
    <w:rsid w:val="00C63902"/>
    <w:rsid w:val="00C639D6"/>
    <w:rsid w:val="00C63F8E"/>
    <w:rsid w:val="00C647FB"/>
    <w:rsid w:val="00C654E0"/>
    <w:rsid w:val="00C65693"/>
    <w:rsid w:val="00C65840"/>
    <w:rsid w:val="00C67106"/>
    <w:rsid w:val="00C677AC"/>
    <w:rsid w:val="00C67EAB"/>
    <w:rsid w:val="00C702ED"/>
    <w:rsid w:val="00C70DFF"/>
    <w:rsid w:val="00C71DF1"/>
    <w:rsid w:val="00C7249F"/>
    <w:rsid w:val="00C72A26"/>
    <w:rsid w:val="00C72D80"/>
    <w:rsid w:val="00C74C32"/>
    <w:rsid w:val="00C74F2F"/>
    <w:rsid w:val="00C74F74"/>
    <w:rsid w:val="00C75A50"/>
    <w:rsid w:val="00C75A6B"/>
    <w:rsid w:val="00C763B6"/>
    <w:rsid w:val="00C7644F"/>
    <w:rsid w:val="00C76683"/>
    <w:rsid w:val="00C768F6"/>
    <w:rsid w:val="00C76ECE"/>
    <w:rsid w:val="00C773F6"/>
    <w:rsid w:val="00C779D1"/>
    <w:rsid w:val="00C80073"/>
    <w:rsid w:val="00C80DEA"/>
    <w:rsid w:val="00C829CA"/>
    <w:rsid w:val="00C82A79"/>
    <w:rsid w:val="00C82E4C"/>
    <w:rsid w:val="00C82EEF"/>
    <w:rsid w:val="00C832DC"/>
    <w:rsid w:val="00C8377F"/>
    <w:rsid w:val="00C84E23"/>
    <w:rsid w:val="00C852DD"/>
    <w:rsid w:val="00C85631"/>
    <w:rsid w:val="00C85AEE"/>
    <w:rsid w:val="00C8646D"/>
    <w:rsid w:val="00C86DD0"/>
    <w:rsid w:val="00C87B9A"/>
    <w:rsid w:val="00C87C2F"/>
    <w:rsid w:val="00C901D6"/>
    <w:rsid w:val="00C91D7F"/>
    <w:rsid w:val="00C91DE3"/>
    <w:rsid w:val="00C91F39"/>
    <w:rsid w:val="00C92C7F"/>
    <w:rsid w:val="00C9369D"/>
    <w:rsid w:val="00C944FA"/>
    <w:rsid w:val="00C94684"/>
    <w:rsid w:val="00C95755"/>
    <w:rsid w:val="00C95854"/>
    <w:rsid w:val="00C95EFF"/>
    <w:rsid w:val="00C96109"/>
    <w:rsid w:val="00C96AD6"/>
    <w:rsid w:val="00C96E6F"/>
    <w:rsid w:val="00C974FC"/>
    <w:rsid w:val="00C97872"/>
    <w:rsid w:val="00C97F4C"/>
    <w:rsid w:val="00CA0532"/>
    <w:rsid w:val="00CA2223"/>
    <w:rsid w:val="00CA2241"/>
    <w:rsid w:val="00CA3B2C"/>
    <w:rsid w:val="00CA3CDD"/>
    <w:rsid w:val="00CA3FC4"/>
    <w:rsid w:val="00CA403B"/>
    <w:rsid w:val="00CA422A"/>
    <w:rsid w:val="00CA505A"/>
    <w:rsid w:val="00CA59DD"/>
    <w:rsid w:val="00CA5F0B"/>
    <w:rsid w:val="00CA5F3E"/>
    <w:rsid w:val="00CA6635"/>
    <w:rsid w:val="00CA7BB7"/>
    <w:rsid w:val="00CA7C1E"/>
    <w:rsid w:val="00CA7F3E"/>
    <w:rsid w:val="00CB008E"/>
    <w:rsid w:val="00CB01FA"/>
    <w:rsid w:val="00CB0737"/>
    <w:rsid w:val="00CB097A"/>
    <w:rsid w:val="00CB1112"/>
    <w:rsid w:val="00CB12F3"/>
    <w:rsid w:val="00CB26EC"/>
    <w:rsid w:val="00CB2D2A"/>
    <w:rsid w:val="00CB3753"/>
    <w:rsid w:val="00CB4839"/>
    <w:rsid w:val="00CB584F"/>
    <w:rsid w:val="00CB5B1E"/>
    <w:rsid w:val="00CB747F"/>
    <w:rsid w:val="00CB787A"/>
    <w:rsid w:val="00CC0C4A"/>
    <w:rsid w:val="00CC17F0"/>
    <w:rsid w:val="00CC1853"/>
    <w:rsid w:val="00CC1FAE"/>
    <w:rsid w:val="00CC28CD"/>
    <w:rsid w:val="00CC2EE6"/>
    <w:rsid w:val="00CC3A23"/>
    <w:rsid w:val="00CC3D69"/>
    <w:rsid w:val="00CC4C4B"/>
    <w:rsid w:val="00CC6784"/>
    <w:rsid w:val="00CC6B77"/>
    <w:rsid w:val="00CC6C78"/>
    <w:rsid w:val="00CC6E57"/>
    <w:rsid w:val="00CC737C"/>
    <w:rsid w:val="00CC7A93"/>
    <w:rsid w:val="00CD087D"/>
    <w:rsid w:val="00CD0F5D"/>
    <w:rsid w:val="00CD1104"/>
    <w:rsid w:val="00CD18BB"/>
    <w:rsid w:val="00CD1C0B"/>
    <w:rsid w:val="00CD239A"/>
    <w:rsid w:val="00CD2764"/>
    <w:rsid w:val="00CD4E9A"/>
    <w:rsid w:val="00CD520E"/>
    <w:rsid w:val="00CD5512"/>
    <w:rsid w:val="00CD6E3D"/>
    <w:rsid w:val="00CD6ED7"/>
    <w:rsid w:val="00CD71AB"/>
    <w:rsid w:val="00CD7AC3"/>
    <w:rsid w:val="00CE0109"/>
    <w:rsid w:val="00CE0A14"/>
    <w:rsid w:val="00CE138E"/>
    <w:rsid w:val="00CE151D"/>
    <w:rsid w:val="00CE1681"/>
    <w:rsid w:val="00CE1FC5"/>
    <w:rsid w:val="00CE33FF"/>
    <w:rsid w:val="00CE46E5"/>
    <w:rsid w:val="00CE485A"/>
    <w:rsid w:val="00CE5279"/>
    <w:rsid w:val="00CE54F3"/>
    <w:rsid w:val="00CE5A78"/>
    <w:rsid w:val="00CE5B4C"/>
    <w:rsid w:val="00CE7804"/>
    <w:rsid w:val="00CE78AE"/>
    <w:rsid w:val="00CE7E62"/>
    <w:rsid w:val="00CF08D4"/>
    <w:rsid w:val="00CF1054"/>
    <w:rsid w:val="00CF1861"/>
    <w:rsid w:val="00CF195E"/>
    <w:rsid w:val="00CF19DA"/>
    <w:rsid w:val="00CF1C7F"/>
    <w:rsid w:val="00CF1CC0"/>
    <w:rsid w:val="00CF24F8"/>
    <w:rsid w:val="00CF2653"/>
    <w:rsid w:val="00CF2D5A"/>
    <w:rsid w:val="00CF41EA"/>
    <w:rsid w:val="00CF4247"/>
    <w:rsid w:val="00CF46D2"/>
    <w:rsid w:val="00CF4EE1"/>
    <w:rsid w:val="00CF5263"/>
    <w:rsid w:val="00CF5852"/>
    <w:rsid w:val="00CF60B5"/>
    <w:rsid w:val="00CF6179"/>
    <w:rsid w:val="00CF6B58"/>
    <w:rsid w:val="00CF7D3D"/>
    <w:rsid w:val="00D004FA"/>
    <w:rsid w:val="00D00AD8"/>
    <w:rsid w:val="00D00D59"/>
    <w:rsid w:val="00D01380"/>
    <w:rsid w:val="00D015B4"/>
    <w:rsid w:val="00D01B21"/>
    <w:rsid w:val="00D01E2F"/>
    <w:rsid w:val="00D029D5"/>
    <w:rsid w:val="00D02F5B"/>
    <w:rsid w:val="00D03102"/>
    <w:rsid w:val="00D03727"/>
    <w:rsid w:val="00D0378A"/>
    <w:rsid w:val="00D037F8"/>
    <w:rsid w:val="00D0391D"/>
    <w:rsid w:val="00D03B39"/>
    <w:rsid w:val="00D04418"/>
    <w:rsid w:val="00D04A71"/>
    <w:rsid w:val="00D05132"/>
    <w:rsid w:val="00D05247"/>
    <w:rsid w:val="00D059EA"/>
    <w:rsid w:val="00D05E88"/>
    <w:rsid w:val="00D05EA9"/>
    <w:rsid w:val="00D05F76"/>
    <w:rsid w:val="00D06387"/>
    <w:rsid w:val="00D071F8"/>
    <w:rsid w:val="00D07252"/>
    <w:rsid w:val="00D074B2"/>
    <w:rsid w:val="00D074F4"/>
    <w:rsid w:val="00D07C91"/>
    <w:rsid w:val="00D07CE1"/>
    <w:rsid w:val="00D1026A"/>
    <w:rsid w:val="00D107CF"/>
    <w:rsid w:val="00D11B0B"/>
    <w:rsid w:val="00D12293"/>
    <w:rsid w:val="00D124DA"/>
    <w:rsid w:val="00D12AA1"/>
    <w:rsid w:val="00D134CA"/>
    <w:rsid w:val="00D14236"/>
    <w:rsid w:val="00D1438F"/>
    <w:rsid w:val="00D14553"/>
    <w:rsid w:val="00D14DB1"/>
    <w:rsid w:val="00D1548C"/>
    <w:rsid w:val="00D1575E"/>
    <w:rsid w:val="00D15789"/>
    <w:rsid w:val="00D15B14"/>
    <w:rsid w:val="00D15E80"/>
    <w:rsid w:val="00D15F43"/>
    <w:rsid w:val="00D16E87"/>
    <w:rsid w:val="00D16EB7"/>
    <w:rsid w:val="00D20563"/>
    <w:rsid w:val="00D20B8B"/>
    <w:rsid w:val="00D20F9E"/>
    <w:rsid w:val="00D211AE"/>
    <w:rsid w:val="00D21450"/>
    <w:rsid w:val="00D2162C"/>
    <w:rsid w:val="00D21A3C"/>
    <w:rsid w:val="00D21F69"/>
    <w:rsid w:val="00D22FEE"/>
    <w:rsid w:val="00D233F1"/>
    <w:rsid w:val="00D23471"/>
    <w:rsid w:val="00D24D19"/>
    <w:rsid w:val="00D25167"/>
    <w:rsid w:val="00D256F8"/>
    <w:rsid w:val="00D2685C"/>
    <w:rsid w:val="00D26A3B"/>
    <w:rsid w:val="00D26DCC"/>
    <w:rsid w:val="00D27A87"/>
    <w:rsid w:val="00D302FD"/>
    <w:rsid w:val="00D3038A"/>
    <w:rsid w:val="00D3098D"/>
    <w:rsid w:val="00D31A02"/>
    <w:rsid w:val="00D31C4B"/>
    <w:rsid w:val="00D3323C"/>
    <w:rsid w:val="00D33456"/>
    <w:rsid w:val="00D3396F"/>
    <w:rsid w:val="00D33A82"/>
    <w:rsid w:val="00D33D4D"/>
    <w:rsid w:val="00D33E71"/>
    <w:rsid w:val="00D34A0B"/>
    <w:rsid w:val="00D34D45"/>
    <w:rsid w:val="00D35322"/>
    <w:rsid w:val="00D354C6"/>
    <w:rsid w:val="00D359AD"/>
    <w:rsid w:val="00D35F6C"/>
    <w:rsid w:val="00D36234"/>
    <w:rsid w:val="00D36371"/>
    <w:rsid w:val="00D36BA4"/>
    <w:rsid w:val="00D3779A"/>
    <w:rsid w:val="00D37A75"/>
    <w:rsid w:val="00D37D02"/>
    <w:rsid w:val="00D37FFB"/>
    <w:rsid w:val="00D4088A"/>
    <w:rsid w:val="00D425BF"/>
    <w:rsid w:val="00D43287"/>
    <w:rsid w:val="00D437D8"/>
    <w:rsid w:val="00D4382B"/>
    <w:rsid w:val="00D43D66"/>
    <w:rsid w:val="00D44994"/>
    <w:rsid w:val="00D44C06"/>
    <w:rsid w:val="00D455AD"/>
    <w:rsid w:val="00D45958"/>
    <w:rsid w:val="00D45DF3"/>
    <w:rsid w:val="00D46174"/>
    <w:rsid w:val="00D47DD0"/>
    <w:rsid w:val="00D50183"/>
    <w:rsid w:val="00D50870"/>
    <w:rsid w:val="00D509FD"/>
    <w:rsid w:val="00D51D12"/>
    <w:rsid w:val="00D52AAC"/>
    <w:rsid w:val="00D52AB7"/>
    <w:rsid w:val="00D5362B"/>
    <w:rsid w:val="00D5424D"/>
    <w:rsid w:val="00D54A9A"/>
    <w:rsid w:val="00D55072"/>
    <w:rsid w:val="00D551B5"/>
    <w:rsid w:val="00D559D9"/>
    <w:rsid w:val="00D55BD6"/>
    <w:rsid w:val="00D55DE9"/>
    <w:rsid w:val="00D5601E"/>
    <w:rsid w:val="00D5652A"/>
    <w:rsid w:val="00D56DB2"/>
    <w:rsid w:val="00D5747F"/>
    <w:rsid w:val="00D57495"/>
    <w:rsid w:val="00D574E5"/>
    <w:rsid w:val="00D574FA"/>
    <w:rsid w:val="00D60A0B"/>
    <w:rsid w:val="00D60C8D"/>
    <w:rsid w:val="00D61374"/>
    <w:rsid w:val="00D6168A"/>
    <w:rsid w:val="00D616A5"/>
    <w:rsid w:val="00D61AC7"/>
    <w:rsid w:val="00D61FF0"/>
    <w:rsid w:val="00D6211D"/>
    <w:rsid w:val="00D62251"/>
    <w:rsid w:val="00D62622"/>
    <w:rsid w:val="00D62C97"/>
    <w:rsid w:val="00D63064"/>
    <w:rsid w:val="00D63517"/>
    <w:rsid w:val="00D63AA3"/>
    <w:rsid w:val="00D63B75"/>
    <w:rsid w:val="00D643FF"/>
    <w:rsid w:val="00D657CC"/>
    <w:rsid w:val="00D659B1"/>
    <w:rsid w:val="00D65EA5"/>
    <w:rsid w:val="00D66E18"/>
    <w:rsid w:val="00D671A0"/>
    <w:rsid w:val="00D6734D"/>
    <w:rsid w:val="00D675C4"/>
    <w:rsid w:val="00D679CF"/>
    <w:rsid w:val="00D679D3"/>
    <w:rsid w:val="00D67F39"/>
    <w:rsid w:val="00D712A1"/>
    <w:rsid w:val="00D728F9"/>
    <w:rsid w:val="00D72FA6"/>
    <w:rsid w:val="00D7356F"/>
    <w:rsid w:val="00D73587"/>
    <w:rsid w:val="00D73972"/>
    <w:rsid w:val="00D73C13"/>
    <w:rsid w:val="00D73E3A"/>
    <w:rsid w:val="00D73EBB"/>
    <w:rsid w:val="00D747A2"/>
    <w:rsid w:val="00D747AF"/>
    <w:rsid w:val="00D74C33"/>
    <w:rsid w:val="00D751FB"/>
    <w:rsid w:val="00D752A8"/>
    <w:rsid w:val="00D754D6"/>
    <w:rsid w:val="00D75C5D"/>
    <w:rsid w:val="00D761AA"/>
    <w:rsid w:val="00D76FAE"/>
    <w:rsid w:val="00D777D7"/>
    <w:rsid w:val="00D80AB8"/>
    <w:rsid w:val="00D81792"/>
    <w:rsid w:val="00D817D3"/>
    <w:rsid w:val="00D819B1"/>
    <w:rsid w:val="00D82494"/>
    <w:rsid w:val="00D8341C"/>
    <w:rsid w:val="00D83AC0"/>
    <w:rsid w:val="00D83AE9"/>
    <w:rsid w:val="00D857B8"/>
    <w:rsid w:val="00D868D1"/>
    <w:rsid w:val="00D86E59"/>
    <w:rsid w:val="00D87175"/>
    <w:rsid w:val="00D873D9"/>
    <w:rsid w:val="00D87ABF"/>
    <w:rsid w:val="00D87E96"/>
    <w:rsid w:val="00D90934"/>
    <w:rsid w:val="00D90CD3"/>
    <w:rsid w:val="00D919E6"/>
    <w:rsid w:val="00D91BE1"/>
    <w:rsid w:val="00D92904"/>
    <w:rsid w:val="00D92C29"/>
    <w:rsid w:val="00D931A7"/>
    <w:rsid w:val="00D936E2"/>
    <w:rsid w:val="00D93D73"/>
    <w:rsid w:val="00D946F6"/>
    <w:rsid w:val="00D95104"/>
    <w:rsid w:val="00D95473"/>
    <w:rsid w:val="00D95600"/>
    <w:rsid w:val="00D957BF"/>
    <w:rsid w:val="00D96187"/>
    <w:rsid w:val="00D9683C"/>
    <w:rsid w:val="00D97363"/>
    <w:rsid w:val="00D97884"/>
    <w:rsid w:val="00DA0A7F"/>
    <w:rsid w:val="00DA1C31"/>
    <w:rsid w:val="00DA20BC"/>
    <w:rsid w:val="00DA2748"/>
    <w:rsid w:val="00DA2C6D"/>
    <w:rsid w:val="00DA2ED7"/>
    <w:rsid w:val="00DA3E29"/>
    <w:rsid w:val="00DA3E7A"/>
    <w:rsid w:val="00DA430C"/>
    <w:rsid w:val="00DA4B26"/>
    <w:rsid w:val="00DA4C8A"/>
    <w:rsid w:val="00DA4E3C"/>
    <w:rsid w:val="00DA615D"/>
    <w:rsid w:val="00DA6403"/>
    <w:rsid w:val="00DA6598"/>
    <w:rsid w:val="00DA6C0F"/>
    <w:rsid w:val="00DA702F"/>
    <w:rsid w:val="00DA7F8A"/>
    <w:rsid w:val="00DB0176"/>
    <w:rsid w:val="00DB0299"/>
    <w:rsid w:val="00DB0404"/>
    <w:rsid w:val="00DB11F8"/>
    <w:rsid w:val="00DB18F8"/>
    <w:rsid w:val="00DB1B04"/>
    <w:rsid w:val="00DB1F2A"/>
    <w:rsid w:val="00DB2575"/>
    <w:rsid w:val="00DB2826"/>
    <w:rsid w:val="00DB297F"/>
    <w:rsid w:val="00DB3153"/>
    <w:rsid w:val="00DB317A"/>
    <w:rsid w:val="00DB3B03"/>
    <w:rsid w:val="00DB3B82"/>
    <w:rsid w:val="00DB485D"/>
    <w:rsid w:val="00DB584A"/>
    <w:rsid w:val="00DB6264"/>
    <w:rsid w:val="00DB6524"/>
    <w:rsid w:val="00DB67A1"/>
    <w:rsid w:val="00DB68BE"/>
    <w:rsid w:val="00DB6E04"/>
    <w:rsid w:val="00DC0744"/>
    <w:rsid w:val="00DC1327"/>
    <w:rsid w:val="00DC1350"/>
    <w:rsid w:val="00DC29F9"/>
    <w:rsid w:val="00DC3237"/>
    <w:rsid w:val="00DC3953"/>
    <w:rsid w:val="00DC41A4"/>
    <w:rsid w:val="00DC45DA"/>
    <w:rsid w:val="00DC4706"/>
    <w:rsid w:val="00DC497B"/>
    <w:rsid w:val="00DC4AE1"/>
    <w:rsid w:val="00DC5263"/>
    <w:rsid w:val="00DC555D"/>
    <w:rsid w:val="00DC5654"/>
    <w:rsid w:val="00DC5672"/>
    <w:rsid w:val="00DC5B81"/>
    <w:rsid w:val="00DC60A2"/>
    <w:rsid w:val="00DC6600"/>
    <w:rsid w:val="00DC67BD"/>
    <w:rsid w:val="00DC6924"/>
    <w:rsid w:val="00DC71F2"/>
    <w:rsid w:val="00DC7EF4"/>
    <w:rsid w:val="00DD15F7"/>
    <w:rsid w:val="00DD19FA"/>
    <w:rsid w:val="00DD1E0A"/>
    <w:rsid w:val="00DD1ECA"/>
    <w:rsid w:val="00DD2025"/>
    <w:rsid w:val="00DD22EA"/>
    <w:rsid w:val="00DD23A0"/>
    <w:rsid w:val="00DD3BB9"/>
    <w:rsid w:val="00DD3EF5"/>
    <w:rsid w:val="00DD53FA"/>
    <w:rsid w:val="00DD5877"/>
    <w:rsid w:val="00DD5F42"/>
    <w:rsid w:val="00DD617B"/>
    <w:rsid w:val="00DD69DE"/>
    <w:rsid w:val="00DD6F93"/>
    <w:rsid w:val="00DE05B1"/>
    <w:rsid w:val="00DE0824"/>
    <w:rsid w:val="00DE0B47"/>
    <w:rsid w:val="00DE0E59"/>
    <w:rsid w:val="00DE0F6C"/>
    <w:rsid w:val="00DE1832"/>
    <w:rsid w:val="00DE219B"/>
    <w:rsid w:val="00DE2484"/>
    <w:rsid w:val="00DE46A2"/>
    <w:rsid w:val="00DE4935"/>
    <w:rsid w:val="00DE52E3"/>
    <w:rsid w:val="00DE6094"/>
    <w:rsid w:val="00DE7C00"/>
    <w:rsid w:val="00DF026B"/>
    <w:rsid w:val="00DF03E9"/>
    <w:rsid w:val="00DF03ED"/>
    <w:rsid w:val="00DF04EE"/>
    <w:rsid w:val="00DF06C1"/>
    <w:rsid w:val="00DF0B07"/>
    <w:rsid w:val="00DF0BF4"/>
    <w:rsid w:val="00DF179D"/>
    <w:rsid w:val="00DF1E9C"/>
    <w:rsid w:val="00DF37CC"/>
    <w:rsid w:val="00DF3C5E"/>
    <w:rsid w:val="00DF4572"/>
    <w:rsid w:val="00DF4658"/>
    <w:rsid w:val="00DF4666"/>
    <w:rsid w:val="00DF47A5"/>
    <w:rsid w:val="00DF4EC8"/>
    <w:rsid w:val="00DF6C8B"/>
    <w:rsid w:val="00DF6F17"/>
    <w:rsid w:val="00DF71C8"/>
    <w:rsid w:val="00DF78FA"/>
    <w:rsid w:val="00E002F1"/>
    <w:rsid w:val="00E0082C"/>
    <w:rsid w:val="00E01DAA"/>
    <w:rsid w:val="00E023E5"/>
    <w:rsid w:val="00E02432"/>
    <w:rsid w:val="00E02466"/>
    <w:rsid w:val="00E04022"/>
    <w:rsid w:val="00E04727"/>
    <w:rsid w:val="00E05303"/>
    <w:rsid w:val="00E0719A"/>
    <w:rsid w:val="00E0728F"/>
    <w:rsid w:val="00E0755C"/>
    <w:rsid w:val="00E07F44"/>
    <w:rsid w:val="00E100A5"/>
    <w:rsid w:val="00E10605"/>
    <w:rsid w:val="00E111A3"/>
    <w:rsid w:val="00E1124B"/>
    <w:rsid w:val="00E11D7C"/>
    <w:rsid w:val="00E120A4"/>
    <w:rsid w:val="00E12367"/>
    <w:rsid w:val="00E124DC"/>
    <w:rsid w:val="00E12FB1"/>
    <w:rsid w:val="00E13F69"/>
    <w:rsid w:val="00E146DE"/>
    <w:rsid w:val="00E14A7E"/>
    <w:rsid w:val="00E14FFE"/>
    <w:rsid w:val="00E151E1"/>
    <w:rsid w:val="00E15AE9"/>
    <w:rsid w:val="00E164FC"/>
    <w:rsid w:val="00E167F8"/>
    <w:rsid w:val="00E17619"/>
    <w:rsid w:val="00E17805"/>
    <w:rsid w:val="00E20A07"/>
    <w:rsid w:val="00E20F79"/>
    <w:rsid w:val="00E21278"/>
    <w:rsid w:val="00E21DC0"/>
    <w:rsid w:val="00E22B1A"/>
    <w:rsid w:val="00E22CCD"/>
    <w:rsid w:val="00E232C2"/>
    <w:rsid w:val="00E23A11"/>
    <w:rsid w:val="00E23FB7"/>
    <w:rsid w:val="00E24A27"/>
    <w:rsid w:val="00E24AC4"/>
    <w:rsid w:val="00E25B06"/>
    <w:rsid w:val="00E25F89"/>
    <w:rsid w:val="00E26905"/>
    <w:rsid w:val="00E2713A"/>
    <w:rsid w:val="00E27D47"/>
    <w:rsid w:val="00E3094F"/>
    <w:rsid w:val="00E30ED8"/>
    <w:rsid w:val="00E3124C"/>
    <w:rsid w:val="00E327CB"/>
    <w:rsid w:val="00E32D62"/>
    <w:rsid w:val="00E32D99"/>
    <w:rsid w:val="00E32DFB"/>
    <w:rsid w:val="00E32EAE"/>
    <w:rsid w:val="00E339DC"/>
    <w:rsid w:val="00E33E15"/>
    <w:rsid w:val="00E35A85"/>
    <w:rsid w:val="00E35C93"/>
    <w:rsid w:val="00E361B8"/>
    <w:rsid w:val="00E36A1B"/>
    <w:rsid w:val="00E37573"/>
    <w:rsid w:val="00E37ECC"/>
    <w:rsid w:val="00E40319"/>
    <w:rsid w:val="00E405F7"/>
    <w:rsid w:val="00E41CF5"/>
    <w:rsid w:val="00E429ED"/>
    <w:rsid w:val="00E42A71"/>
    <w:rsid w:val="00E42CB2"/>
    <w:rsid w:val="00E436FC"/>
    <w:rsid w:val="00E43F37"/>
    <w:rsid w:val="00E44226"/>
    <w:rsid w:val="00E4429C"/>
    <w:rsid w:val="00E443FB"/>
    <w:rsid w:val="00E447D2"/>
    <w:rsid w:val="00E450ED"/>
    <w:rsid w:val="00E45C76"/>
    <w:rsid w:val="00E4657F"/>
    <w:rsid w:val="00E4791B"/>
    <w:rsid w:val="00E47E31"/>
    <w:rsid w:val="00E5002D"/>
    <w:rsid w:val="00E501B3"/>
    <w:rsid w:val="00E50AC6"/>
    <w:rsid w:val="00E51DDD"/>
    <w:rsid w:val="00E51FDD"/>
    <w:rsid w:val="00E5204F"/>
    <w:rsid w:val="00E52435"/>
    <w:rsid w:val="00E52C04"/>
    <w:rsid w:val="00E53122"/>
    <w:rsid w:val="00E5351B"/>
    <w:rsid w:val="00E53F5A"/>
    <w:rsid w:val="00E53FA9"/>
    <w:rsid w:val="00E5414C"/>
    <w:rsid w:val="00E547B3"/>
    <w:rsid w:val="00E55391"/>
    <w:rsid w:val="00E5733D"/>
    <w:rsid w:val="00E5778F"/>
    <w:rsid w:val="00E578B8"/>
    <w:rsid w:val="00E57B5C"/>
    <w:rsid w:val="00E57D02"/>
    <w:rsid w:val="00E6062E"/>
    <w:rsid w:val="00E61CC0"/>
    <w:rsid w:val="00E6277B"/>
    <w:rsid w:val="00E6323A"/>
    <w:rsid w:val="00E643FC"/>
    <w:rsid w:val="00E64424"/>
    <w:rsid w:val="00E64ACA"/>
    <w:rsid w:val="00E64C99"/>
    <w:rsid w:val="00E64CD3"/>
    <w:rsid w:val="00E657E9"/>
    <w:rsid w:val="00E658CE"/>
    <w:rsid w:val="00E659D0"/>
    <w:rsid w:val="00E65B75"/>
    <w:rsid w:val="00E65C90"/>
    <w:rsid w:val="00E65DCF"/>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E7F"/>
    <w:rsid w:val="00E75EBA"/>
    <w:rsid w:val="00E75F8E"/>
    <w:rsid w:val="00E763B4"/>
    <w:rsid w:val="00E77769"/>
    <w:rsid w:val="00E77848"/>
    <w:rsid w:val="00E77A1E"/>
    <w:rsid w:val="00E80514"/>
    <w:rsid w:val="00E80E5B"/>
    <w:rsid w:val="00E810F5"/>
    <w:rsid w:val="00E81296"/>
    <w:rsid w:val="00E816C5"/>
    <w:rsid w:val="00E81CE0"/>
    <w:rsid w:val="00E81E7C"/>
    <w:rsid w:val="00E8224D"/>
    <w:rsid w:val="00E82C04"/>
    <w:rsid w:val="00E83918"/>
    <w:rsid w:val="00E84263"/>
    <w:rsid w:val="00E8519F"/>
    <w:rsid w:val="00E85CC3"/>
    <w:rsid w:val="00E86024"/>
    <w:rsid w:val="00E8644A"/>
    <w:rsid w:val="00E864DF"/>
    <w:rsid w:val="00E869C2"/>
    <w:rsid w:val="00E86CD8"/>
    <w:rsid w:val="00E86D9B"/>
    <w:rsid w:val="00E870D7"/>
    <w:rsid w:val="00E879C0"/>
    <w:rsid w:val="00E879D4"/>
    <w:rsid w:val="00E90279"/>
    <w:rsid w:val="00E90635"/>
    <w:rsid w:val="00E909A1"/>
    <w:rsid w:val="00E90BFF"/>
    <w:rsid w:val="00E90CD5"/>
    <w:rsid w:val="00E9137D"/>
    <w:rsid w:val="00E91F04"/>
    <w:rsid w:val="00E91F35"/>
    <w:rsid w:val="00E92875"/>
    <w:rsid w:val="00E92B3E"/>
    <w:rsid w:val="00E953CF"/>
    <w:rsid w:val="00E95BA6"/>
    <w:rsid w:val="00E975EF"/>
    <w:rsid w:val="00E97648"/>
    <w:rsid w:val="00EA0E4A"/>
    <w:rsid w:val="00EA1A54"/>
    <w:rsid w:val="00EA1D61"/>
    <w:rsid w:val="00EA2226"/>
    <w:rsid w:val="00EA26FC"/>
    <w:rsid w:val="00EA30BB"/>
    <w:rsid w:val="00EA32A7"/>
    <w:rsid w:val="00EA3B5A"/>
    <w:rsid w:val="00EA410E"/>
    <w:rsid w:val="00EA4FD1"/>
    <w:rsid w:val="00EA53C2"/>
    <w:rsid w:val="00EA5695"/>
    <w:rsid w:val="00EA5B0A"/>
    <w:rsid w:val="00EA65AD"/>
    <w:rsid w:val="00EA7613"/>
    <w:rsid w:val="00EA7A9E"/>
    <w:rsid w:val="00EA7F43"/>
    <w:rsid w:val="00EA7FBD"/>
    <w:rsid w:val="00EA7FCF"/>
    <w:rsid w:val="00EB04BB"/>
    <w:rsid w:val="00EB0CA3"/>
    <w:rsid w:val="00EB104F"/>
    <w:rsid w:val="00EB1B27"/>
    <w:rsid w:val="00EB1DA8"/>
    <w:rsid w:val="00EB41E5"/>
    <w:rsid w:val="00EB433B"/>
    <w:rsid w:val="00EB4CFF"/>
    <w:rsid w:val="00EB5476"/>
    <w:rsid w:val="00EB70B0"/>
    <w:rsid w:val="00EB73B9"/>
    <w:rsid w:val="00EB7633"/>
    <w:rsid w:val="00EB7736"/>
    <w:rsid w:val="00EB779A"/>
    <w:rsid w:val="00EC09A9"/>
    <w:rsid w:val="00EC0FEE"/>
    <w:rsid w:val="00EC2E2D"/>
    <w:rsid w:val="00EC3258"/>
    <w:rsid w:val="00EC462B"/>
    <w:rsid w:val="00EC4723"/>
    <w:rsid w:val="00EC4DA2"/>
    <w:rsid w:val="00EC4F3B"/>
    <w:rsid w:val="00EC5315"/>
    <w:rsid w:val="00EC56E0"/>
    <w:rsid w:val="00EC57A9"/>
    <w:rsid w:val="00EC6057"/>
    <w:rsid w:val="00EC6847"/>
    <w:rsid w:val="00EC7A36"/>
    <w:rsid w:val="00EC7DB6"/>
    <w:rsid w:val="00ED0428"/>
    <w:rsid w:val="00ED0E95"/>
    <w:rsid w:val="00ED0EDE"/>
    <w:rsid w:val="00ED162F"/>
    <w:rsid w:val="00ED23E6"/>
    <w:rsid w:val="00ED25F3"/>
    <w:rsid w:val="00ED2AC6"/>
    <w:rsid w:val="00ED2E52"/>
    <w:rsid w:val="00ED2E89"/>
    <w:rsid w:val="00ED3024"/>
    <w:rsid w:val="00ED3115"/>
    <w:rsid w:val="00ED38D6"/>
    <w:rsid w:val="00ED45E5"/>
    <w:rsid w:val="00ED5FE4"/>
    <w:rsid w:val="00ED60E9"/>
    <w:rsid w:val="00ED6366"/>
    <w:rsid w:val="00ED71C5"/>
    <w:rsid w:val="00EE018F"/>
    <w:rsid w:val="00EE16FA"/>
    <w:rsid w:val="00EE1F58"/>
    <w:rsid w:val="00EE24A4"/>
    <w:rsid w:val="00EE3C42"/>
    <w:rsid w:val="00EE3D4F"/>
    <w:rsid w:val="00EE4304"/>
    <w:rsid w:val="00EE534D"/>
    <w:rsid w:val="00EE5560"/>
    <w:rsid w:val="00EE5910"/>
    <w:rsid w:val="00EE5CDC"/>
    <w:rsid w:val="00EE68B3"/>
    <w:rsid w:val="00EE6C0D"/>
    <w:rsid w:val="00EE6D9F"/>
    <w:rsid w:val="00EE6F1E"/>
    <w:rsid w:val="00EF0348"/>
    <w:rsid w:val="00EF0EA3"/>
    <w:rsid w:val="00EF1F9C"/>
    <w:rsid w:val="00EF261B"/>
    <w:rsid w:val="00EF2811"/>
    <w:rsid w:val="00EF29C8"/>
    <w:rsid w:val="00EF35C0"/>
    <w:rsid w:val="00EF4366"/>
    <w:rsid w:val="00EF4551"/>
    <w:rsid w:val="00EF4CD6"/>
    <w:rsid w:val="00EF55A0"/>
    <w:rsid w:val="00EF581E"/>
    <w:rsid w:val="00EF5C7D"/>
    <w:rsid w:val="00EF63D1"/>
    <w:rsid w:val="00EF6513"/>
    <w:rsid w:val="00EF652B"/>
    <w:rsid w:val="00EF6683"/>
    <w:rsid w:val="00EF7002"/>
    <w:rsid w:val="00EF769B"/>
    <w:rsid w:val="00F027BA"/>
    <w:rsid w:val="00F02B36"/>
    <w:rsid w:val="00F034D9"/>
    <w:rsid w:val="00F03E70"/>
    <w:rsid w:val="00F03E79"/>
    <w:rsid w:val="00F04E8F"/>
    <w:rsid w:val="00F05AB4"/>
    <w:rsid w:val="00F0628D"/>
    <w:rsid w:val="00F06651"/>
    <w:rsid w:val="00F07938"/>
    <w:rsid w:val="00F07DE6"/>
    <w:rsid w:val="00F1002A"/>
    <w:rsid w:val="00F1056C"/>
    <w:rsid w:val="00F10719"/>
    <w:rsid w:val="00F107F1"/>
    <w:rsid w:val="00F10FC1"/>
    <w:rsid w:val="00F112FD"/>
    <w:rsid w:val="00F11F7B"/>
    <w:rsid w:val="00F120E6"/>
    <w:rsid w:val="00F133A1"/>
    <w:rsid w:val="00F13A59"/>
    <w:rsid w:val="00F13ECD"/>
    <w:rsid w:val="00F14441"/>
    <w:rsid w:val="00F14B86"/>
    <w:rsid w:val="00F14D0A"/>
    <w:rsid w:val="00F155CE"/>
    <w:rsid w:val="00F164DF"/>
    <w:rsid w:val="00F17707"/>
    <w:rsid w:val="00F17EAE"/>
    <w:rsid w:val="00F20661"/>
    <w:rsid w:val="00F21337"/>
    <w:rsid w:val="00F218D4"/>
    <w:rsid w:val="00F22021"/>
    <w:rsid w:val="00F223E5"/>
    <w:rsid w:val="00F2250A"/>
    <w:rsid w:val="00F22D68"/>
    <w:rsid w:val="00F2423E"/>
    <w:rsid w:val="00F24788"/>
    <w:rsid w:val="00F250B1"/>
    <w:rsid w:val="00F26217"/>
    <w:rsid w:val="00F2640F"/>
    <w:rsid w:val="00F269B7"/>
    <w:rsid w:val="00F276A5"/>
    <w:rsid w:val="00F27721"/>
    <w:rsid w:val="00F27C34"/>
    <w:rsid w:val="00F27E46"/>
    <w:rsid w:val="00F301C2"/>
    <w:rsid w:val="00F302E1"/>
    <w:rsid w:val="00F306AE"/>
    <w:rsid w:val="00F30743"/>
    <w:rsid w:val="00F31B22"/>
    <w:rsid w:val="00F31B49"/>
    <w:rsid w:val="00F32003"/>
    <w:rsid w:val="00F32F56"/>
    <w:rsid w:val="00F33955"/>
    <w:rsid w:val="00F33D4F"/>
    <w:rsid w:val="00F34CD6"/>
    <w:rsid w:val="00F35872"/>
    <w:rsid w:val="00F35873"/>
    <w:rsid w:val="00F35920"/>
    <w:rsid w:val="00F36277"/>
    <w:rsid w:val="00F366A5"/>
    <w:rsid w:val="00F36992"/>
    <w:rsid w:val="00F36AA9"/>
    <w:rsid w:val="00F36C5F"/>
    <w:rsid w:val="00F37259"/>
    <w:rsid w:val="00F37C99"/>
    <w:rsid w:val="00F405A4"/>
    <w:rsid w:val="00F406A1"/>
    <w:rsid w:val="00F408A7"/>
    <w:rsid w:val="00F41598"/>
    <w:rsid w:val="00F41F05"/>
    <w:rsid w:val="00F4208C"/>
    <w:rsid w:val="00F42116"/>
    <w:rsid w:val="00F42896"/>
    <w:rsid w:val="00F42AC2"/>
    <w:rsid w:val="00F433BD"/>
    <w:rsid w:val="00F435D4"/>
    <w:rsid w:val="00F43E48"/>
    <w:rsid w:val="00F43F61"/>
    <w:rsid w:val="00F44EC5"/>
    <w:rsid w:val="00F455A7"/>
    <w:rsid w:val="00F45E42"/>
    <w:rsid w:val="00F4748D"/>
    <w:rsid w:val="00F47498"/>
    <w:rsid w:val="00F50C28"/>
    <w:rsid w:val="00F512B2"/>
    <w:rsid w:val="00F527FA"/>
    <w:rsid w:val="00F5283D"/>
    <w:rsid w:val="00F52967"/>
    <w:rsid w:val="00F52ABA"/>
    <w:rsid w:val="00F52BC7"/>
    <w:rsid w:val="00F5314C"/>
    <w:rsid w:val="00F53BF4"/>
    <w:rsid w:val="00F53C1F"/>
    <w:rsid w:val="00F54226"/>
    <w:rsid w:val="00F54266"/>
    <w:rsid w:val="00F55043"/>
    <w:rsid w:val="00F551A5"/>
    <w:rsid w:val="00F55210"/>
    <w:rsid w:val="00F55B07"/>
    <w:rsid w:val="00F56DCF"/>
    <w:rsid w:val="00F57034"/>
    <w:rsid w:val="00F57095"/>
    <w:rsid w:val="00F57417"/>
    <w:rsid w:val="00F60BE9"/>
    <w:rsid w:val="00F60BFC"/>
    <w:rsid w:val="00F60C29"/>
    <w:rsid w:val="00F60E00"/>
    <w:rsid w:val="00F61FD8"/>
    <w:rsid w:val="00F62DBF"/>
    <w:rsid w:val="00F641FC"/>
    <w:rsid w:val="00F647F7"/>
    <w:rsid w:val="00F648DD"/>
    <w:rsid w:val="00F65380"/>
    <w:rsid w:val="00F6583C"/>
    <w:rsid w:val="00F6589A"/>
    <w:rsid w:val="00F659D6"/>
    <w:rsid w:val="00F65A46"/>
    <w:rsid w:val="00F66065"/>
    <w:rsid w:val="00F6730E"/>
    <w:rsid w:val="00F6767E"/>
    <w:rsid w:val="00F6783E"/>
    <w:rsid w:val="00F67A0A"/>
    <w:rsid w:val="00F70DBE"/>
    <w:rsid w:val="00F71124"/>
    <w:rsid w:val="00F71888"/>
    <w:rsid w:val="00F719CD"/>
    <w:rsid w:val="00F71BB8"/>
    <w:rsid w:val="00F72584"/>
    <w:rsid w:val="00F7290D"/>
    <w:rsid w:val="00F72F31"/>
    <w:rsid w:val="00F72FBC"/>
    <w:rsid w:val="00F7302F"/>
    <w:rsid w:val="00F732EC"/>
    <w:rsid w:val="00F73B21"/>
    <w:rsid w:val="00F73D08"/>
    <w:rsid w:val="00F740FB"/>
    <w:rsid w:val="00F74692"/>
    <w:rsid w:val="00F74EF4"/>
    <w:rsid w:val="00F7586B"/>
    <w:rsid w:val="00F759E1"/>
    <w:rsid w:val="00F75C1C"/>
    <w:rsid w:val="00F75F2F"/>
    <w:rsid w:val="00F76445"/>
    <w:rsid w:val="00F76ECC"/>
    <w:rsid w:val="00F774B5"/>
    <w:rsid w:val="00F77783"/>
    <w:rsid w:val="00F80399"/>
    <w:rsid w:val="00F81072"/>
    <w:rsid w:val="00F810F1"/>
    <w:rsid w:val="00F812C8"/>
    <w:rsid w:val="00F8132D"/>
    <w:rsid w:val="00F81606"/>
    <w:rsid w:val="00F81614"/>
    <w:rsid w:val="00F818AE"/>
    <w:rsid w:val="00F8199A"/>
    <w:rsid w:val="00F81A5C"/>
    <w:rsid w:val="00F81B40"/>
    <w:rsid w:val="00F820C4"/>
    <w:rsid w:val="00F820E2"/>
    <w:rsid w:val="00F827B8"/>
    <w:rsid w:val="00F82A11"/>
    <w:rsid w:val="00F831E2"/>
    <w:rsid w:val="00F83829"/>
    <w:rsid w:val="00F83ADA"/>
    <w:rsid w:val="00F84069"/>
    <w:rsid w:val="00F843D7"/>
    <w:rsid w:val="00F845FF"/>
    <w:rsid w:val="00F85536"/>
    <w:rsid w:val="00F85F51"/>
    <w:rsid w:val="00F861BB"/>
    <w:rsid w:val="00F86432"/>
    <w:rsid w:val="00F8657A"/>
    <w:rsid w:val="00F8679A"/>
    <w:rsid w:val="00F86840"/>
    <w:rsid w:val="00F86F7E"/>
    <w:rsid w:val="00F87117"/>
    <w:rsid w:val="00F8736C"/>
    <w:rsid w:val="00F87D62"/>
    <w:rsid w:val="00F9030E"/>
    <w:rsid w:val="00F90738"/>
    <w:rsid w:val="00F90ADB"/>
    <w:rsid w:val="00F90E78"/>
    <w:rsid w:val="00F91209"/>
    <w:rsid w:val="00F9221F"/>
    <w:rsid w:val="00F925A7"/>
    <w:rsid w:val="00F92B0F"/>
    <w:rsid w:val="00F931C7"/>
    <w:rsid w:val="00F93559"/>
    <w:rsid w:val="00F93D72"/>
    <w:rsid w:val="00F93E65"/>
    <w:rsid w:val="00F93F5F"/>
    <w:rsid w:val="00F94070"/>
    <w:rsid w:val="00F950B5"/>
    <w:rsid w:val="00F9513F"/>
    <w:rsid w:val="00F9517C"/>
    <w:rsid w:val="00F9623E"/>
    <w:rsid w:val="00F96575"/>
    <w:rsid w:val="00F96E16"/>
    <w:rsid w:val="00F97908"/>
    <w:rsid w:val="00F97B43"/>
    <w:rsid w:val="00FA07F8"/>
    <w:rsid w:val="00FA105C"/>
    <w:rsid w:val="00FA1475"/>
    <w:rsid w:val="00FA148A"/>
    <w:rsid w:val="00FA1865"/>
    <w:rsid w:val="00FA188B"/>
    <w:rsid w:val="00FA246C"/>
    <w:rsid w:val="00FA25BF"/>
    <w:rsid w:val="00FA27C8"/>
    <w:rsid w:val="00FA2DA0"/>
    <w:rsid w:val="00FA3B76"/>
    <w:rsid w:val="00FA4C28"/>
    <w:rsid w:val="00FA4D66"/>
    <w:rsid w:val="00FA50C6"/>
    <w:rsid w:val="00FA5A4E"/>
    <w:rsid w:val="00FA5DF2"/>
    <w:rsid w:val="00FA60B8"/>
    <w:rsid w:val="00FA6651"/>
    <w:rsid w:val="00FB0082"/>
    <w:rsid w:val="00FB0243"/>
    <w:rsid w:val="00FB1527"/>
    <w:rsid w:val="00FB176E"/>
    <w:rsid w:val="00FB226A"/>
    <w:rsid w:val="00FB2537"/>
    <w:rsid w:val="00FB30F1"/>
    <w:rsid w:val="00FB33DC"/>
    <w:rsid w:val="00FB35FC"/>
    <w:rsid w:val="00FB39BA"/>
    <w:rsid w:val="00FB4338"/>
    <w:rsid w:val="00FB477E"/>
    <w:rsid w:val="00FB4C9C"/>
    <w:rsid w:val="00FB4CD1"/>
    <w:rsid w:val="00FB4F44"/>
    <w:rsid w:val="00FB5865"/>
    <w:rsid w:val="00FB6165"/>
    <w:rsid w:val="00FC0150"/>
    <w:rsid w:val="00FC03AB"/>
    <w:rsid w:val="00FC13B7"/>
    <w:rsid w:val="00FC179F"/>
    <w:rsid w:val="00FC29B6"/>
    <w:rsid w:val="00FC328B"/>
    <w:rsid w:val="00FC3CBC"/>
    <w:rsid w:val="00FC4729"/>
    <w:rsid w:val="00FC47E2"/>
    <w:rsid w:val="00FC4A8C"/>
    <w:rsid w:val="00FC53DB"/>
    <w:rsid w:val="00FC5898"/>
    <w:rsid w:val="00FC5FC2"/>
    <w:rsid w:val="00FC6177"/>
    <w:rsid w:val="00FC63D1"/>
    <w:rsid w:val="00FC7528"/>
    <w:rsid w:val="00FC7C31"/>
    <w:rsid w:val="00FD008D"/>
    <w:rsid w:val="00FD0572"/>
    <w:rsid w:val="00FD1889"/>
    <w:rsid w:val="00FD1A23"/>
    <w:rsid w:val="00FD1A97"/>
    <w:rsid w:val="00FD1D68"/>
    <w:rsid w:val="00FD1F81"/>
    <w:rsid w:val="00FD21BD"/>
    <w:rsid w:val="00FD247D"/>
    <w:rsid w:val="00FD2D7B"/>
    <w:rsid w:val="00FD3197"/>
    <w:rsid w:val="00FD3455"/>
    <w:rsid w:val="00FD37F6"/>
    <w:rsid w:val="00FD3F16"/>
    <w:rsid w:val="00FD4040"/>
    <w:rsid w:val="00FD4589"/>
    <w:rsid w:val="00FD473E"/>
    <w:rsid w:val="00FD5C6B"/>
    <w:rsid w:val="00FD6D39"/>
    <w:rsid w:val="00FD6F5E"/>
    <w:rsid w:val="00FD74B0"/>
    <w:rsid w:val="00FD7DF9"/>
    <w:rsid w:val="00FE0087"/>
    <w:rsid w:val="00FE08BA"/>
    <w:rsid w:val="00FE0B51"/>
    <w:rsid w:val="00FE0B78"/>
    <w:rsid w:val="00FE0ED4"/>
    <w:rsid w:val="00FE0EE2"/>
    <w:rsid w:val="00FE10D7"/>
    <w:rsid w:val="00FE1EAB"/>
    <w:rsid w:val="00FE290A"/>
    <w:rsid w:val="00FE3465"/>
    <w:rsid w:val="00FE4D29"/>
    <w:rsid w:val="00FE4E82"/>
    <w:rsid w:val="00FE4F29"/>
    <w:rsid w:val="00FE61B7"/>
    <w:rsid w:val="00FE67CF"/>
    <w:rsid w:val="00FE6D20"/>
    <w:rsid w:val="00FE6DD7"/>
    <w:rsid w:val="00FE6FB9"/>
    <w:rsid w:val="00FE7549"/>
    <w:rsid w:val="00FE7BCC"/>
    <w:rsid w:val="00FE7E9A"/>
    <w:rsid w:val="00FF0F5C"/>
    <w:rsid w:val="00FF11AE"/>
    <w:rsid w:val="00FF126D"/>
    <w:rsid w:val="00FF207F"/>
    <w:rsid w:val="00FF2310"/>
    <w:rsid w:val="00FF2E71"/>
    <w:rsid w:val="00FF2E73"/>
    <w:rsid w:val="00FF3CF3"/>
    <w:rsid w:val="00FF3D1F"/>
    <w:rsid w:val="00FF466F"/>
    <w:rsid w:val="00FF4AE2"/>
    <w:rsid w:val="00FF4BEB"/>
    <w:rsid w:val="00FF50A8"/>
    <w:rsid w:val="00FF51DB"/>
    <w:rsid w:val="00FF571E"/>
    <w:rsid w:val="00FF5A92"/>
    <w:rsid w:val="00FF6973"/>
    <w:rsid w:val="00FF6BD1"/>
    <w:rsid w:val="00FF6CC0"/>
    <w:rsid w:val="00FF7512"/>
    <w:rsid w:val="00FF7563"/>
    <w:rsid w:val="00FF7A32"/>
    <w:rsid w:val="00FF7EE2"/>
    <w:rsid w:val="017864BD"/>
    <w:rsid w:val="01D07BB0"/>
    <w:rsid w:val="020A0408"/>
    <w:rsid w:val="02516468"/>
    <w:rsid w:val="029370CF"/>
    <w:rsid w:val="037A5531"/>
    <w:rsid w:val="04222E18"/>
    <w:rsid w:val="04657DC3"/>
    <w:rsid w:val="0468669C"/>
    <w:rsid w:val="06756D8D"/>
    <w:rsid w:val="070A3385"/>
    <w:rsid w:val="0A3049ED"/>
    <w:rsid w:val="0A504988"/>
    <w:rsid w:val="0B983458"/>
    <w:rsid w:val="0BA916DB"/>
    <w:rsid w:val="0C005C44"/>
    <w:rsid w:val="0C050100"/>
    <w:rsid w:val="0E833BC5"/>
    <w:rsid w:val="0E924059"/>
    <w:rsid w:val="105B3657"/>
    <w:rsid w:val="1150720C"/>
    <w:rsid w:val="12A02849"/>
    <w:rsid w:val="137F62C2"/>
    <w:rsid w:val="164E63A0"/>
    <w:rsid w:val="170E372E"/>
    <w:rsid w:val="173D79F6"/>
    <w:rsid w:val="19C94FC6"/>
    <w:rsid w:val="1B0D57DE"/>
    <w:rsid w:val="1BDB2B66"/>
    <w:rsid w:val="1D6268BD"/>
    <w:rsid w:val="1DB56C66"/>
    <w:rsid w:val="1E4A0A93"/>
    <w:rsid w:val="1E8B283D"/>
    <w:rsid w:val="1F0F537F"/>
    <w:rsid w:val="1F1D0546"/>
    <w:rsid w:val="1F475C06"/>
    <w:rsid w:val="23127B7E"/>
    <w:rsid w:val="244D7071"/>
    <w:rsid w:val="24824B4C"/>
    <w:rsid w:val="24B94595"/>
    <w:rsid w:val="24BB67A3"/>
    <w:rsid w:val="24BF3C23"/>
    <w:rsid w:val="25F232D2"/>
    <w:rsid w:val="263A0F96"/>
    <w:rsid w:val="26EE395F"/>
    <w:rsid w:val="287B1B53"/>
    <w:rsid w:val="28E572F9"/>
    <w:rsid w:val="2AD41706"/>
    <w:rsid w:val="2C6E10EF"/>
    <w:rsid w:val="2C8E13A7"/>
    <w:rsid w:val="2C95434A"/>
    <w:rsid w:val="2D1D02E7"/>
    <w:rsid w:val="2D8C1D56"/>
    <w:rsid w:val="2E434C84"/>
    <w:rsid w:val="2E4C60AE"/>
    <w:rsid w:val="2E541956"/>
    <w:rsid w:val="2E571E39"/>
    <w:rsid w:val="2F763372"/>
    <w:rsid w:val="31A327D2"/>
    <w:rsid w:val="3315594B"/>
    <w:rsid w:val="3438767A"/>
    <w:rsid w:val="34641295"/>
    <w:rsid w:val="34D0100A"/>
    <w:rsid w:val="37611A15"/>
    <w:rsid w:val="39304D5F"/>
    <w:rsid w:val="39F4756C"/>
    <w:rsid w:val="3C8B35B2"/>
    <w:rsid w:val="3D3C352D"/>
    <w:rsid w:val="3FA8610E"/>
    <w:rsid w:val="401D1DB9"/>
    <w:rsid w:val="40647BBC"/>
    <w:rsid w:val="40CF6238"/>
    <w:rsid w:val="414232BF"/>
    <w:rsid w:val="4178794C"/>
    <w:rsid w:val="41BF63B9"/>
    <w:rsid w:val="42202AF9"/>
    <w:rsid w:val="43045E5A"/>
    <w:rsid w:val="43F7675A"/>
    <w:rsid w:val="451B6987"/>
    <w:rsid w:val="45A56AE1"/>
    <w:rsid w:val="47AF2FAC"/>
    <w:rsid w:val="49901BFD"/>
    <w:rsid w:val="4B6522EF"/>
    <w:rsid w:val="4DB772B5"/>
    <w:rsid w:val="4ECF7C1D"/>
    <w:rsid w:val="4F461FCE"/>
    <w:rsid w:val="4F7D19D2"/>
    <w:rsid w:val="50320775"/>
    <w:rsid w:val="505413E0"/>
    <w:rsid w:val="50B97B51"/>
    <w:rsid w:val="51D42356"/>
    <w:rsid w:val="523F652A"/>
    <w:rsid w:val="525916BF"/>
    <w:rsid w:val="528D3114"/>
    <w:rsid w:val="52BF7F97"/>
    <w:rsid w:val="53542CD9"/>
    <w:rsid w:val="53824E95"/>
    <w:rsid w:val="53C437A0"/>
    <w:rsid w:val="549A7FF9"/>
    <w:rsid w:val="55F35759"/>
    <w:rsid w:val="565031A3"/>
    <w:rsid w:val="5655040E"/>
    <w:rsid w:val="5682548F"/>
    <w:rsid w:val="575C11E4"/>
    <w:rsid w:val="57EB0C01"/>
    <w:rsid w:val="591C41BA"/>
    <w:rsid w:val="59B4446D"/>
    <w:rsid w:val="59F16203"/>
    <w:rsid w:val="5AAE230B"/>
    <w:rsid w:val="5B151E1C"/>
    <w:rsid w:val="5C1D6558"/>
    <w:rsid w:val="5CAA6CD6"/>
    <w:rsid w:val="5CC56EA4"/>
    <w:rsid w:val="61581201"/>
    <w:rsid w:val="61AC4319"/>
    <w:rsid w:val="625F25CF"/>
    <w:rsid w:val="632A5B93"/>
    <w:rsid w:val="64653C84"/>
    <w:rsid w:val="64CE3521"/>
    <w:rsid w:val="65577C32"/>
    <w:rsid w:val="65A611DC"/>
    <w:rsid w:val="6B751112"/>
    <w:rsid w:val="6BA1662B"/>
    <w:rsid w:val="6DB41036"/>
    <w:rsid w:val="6F191E1D"/>
    <w:rsid w:val="700911D5"/>
    <w:rsid w:val="703472A8"/>
    <w:rsid w:val="72952683"/>
    <w:rsid w:val="734511EC"/>
    <w:rsid w:val="74261C61"/>
    <w:rsid w:val="744A019E"/>
    <w:rsid w:val="775458FD"/>
    <w:rsid w:val="78A46ADA"/>
    <w:rsid w:val="7AB34854"/>
    <w:rsid w:val="7D73734B"/>
    <w:rsid w:val="7D9A3B75"/>
    <w:rsid w:val="7FA95C4A"/>
    <w:rsid w:val="7FAA7B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Malgun Gothic" w:hAnsi="Malgun Gothic" w:eastAsia="Malgun Gothic" w:cs="Malgun Gothic"/>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iPriority="0" w:name="List 2"/>
    <w:lsdException w:qFormat="1"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cs="Times New Roman" w:eastAsiaTheme="minorEastAsia"/>
      <w:sz w:val="22"/>
      <w:szCs w:val="22"/>
      <w:lang w:val="en-US" w:eastAsia="en-US" w:bidi="ar-SA"/>
    </w:rPr>
  </w:style>
  <w:style w:type="paragraph" w:styleId="2">
    <w:name w:val="heading 1"/>
    <w:basedOn w:val="1"/>
    <w:next w:val="1"/>
    <w:qFormat/>
    <w:uiPriority w:val="0"/>
    <w:pPr>
      <w:keepNext/>
      <w:numPr>
        <w:ilvl w:val="0"/>
        <w:numId w:val="1"/>
      </w:numPr>
      <w:spacing w:before="240" w:after="240"/>
      <w:outlineLvl w:val="0"/>
    </w:pPr>
    <w:rPr>
      <w:b/>
      <w:bCs/>
      <w:sz w:val="28"/>
      <w:szCs w:val="28"/>
    </w:rPr>
  </w:style>
  <w:style w:type="paragraph" w:styleId="3">
    <w:name w:val="heading 2"/>
    <w:basedOn w:val="1"/>
    <w:next w:val="1"/>
    <w:qFormat/>
    <w:uiPriority w:val="0"/>
    <w:pPr>
      <w:keepNext/>
      <w:numPr>
        <w:ilvl w:val="1"/>
        <w:numId w:val="1"/>
      </w:numPr>
      <w:tabs>
        <w:tab w:val="left" w:pos="432"/>
      </w:tabs>
      <w:spacing w:before="180" w:after="180"/>
      <w:outlineLvl w:val="1"/>
    </w:pPr>
    <w:rPr>
      <w:b/>
      <w:bCs/>
      <w:sz w:val="24"/>
    </w:rPr>
  </w:style>
  <w:style w:type="paragraph" w:styleId="4">
    <w:name w:val="heading 3"/>
    <w:basedOn w:val="1"/>
    <w:next w:val="1"/>
    <w:qFormat/>
    <w:uiPriority w:val="0"/>
    <w:pPr>
      <w:keepNext/>
      <w:numPr>
        <w:ilvl w:val="2"/>
        <w:numId w:val="1"/>
      </w:numPr>
      <w:spacing w:before="120"/>
      <w:outlineLvl w:val="2"/>
    </w:pPr>
    <w:rPr>
      <w:b/>
    </w:rPr>
  </w:style>
  <w:style w:type="paragraph" w:styleId="5">
    <w:name w:val="heading 4"/>
    <w:basedOn w:val="1"/>
    <w:next w:val="1"/>
    <w:qFormat/>
    <w:uiPriority w:val="0"/>
    <w:pPr>
      <w:keepNext/>
      <w:numPr>
        <w:ilvl w:val="3"/>
        <w:numId w:val="1"/>
      </w:numPr>
      <w:spacing w:before="120"/>
      <w:outlineLvl w:val="3"/>
    </w:pPr>
    <w:rPr>
      <w:b/>
      <w:bCs/>
      <w:szCs w:val="28"/>
    </w:rPr>
  </w:style>
  <w:style w:type="paragraph" w:styleId="6">
    <w:name w:val="heading 5"/>
    <w:basedOn w:val="1"/>
    <w:next w:val="1"/>
    <w:qFormat/>
    <w:uiPriority w:val="0"/>
    <w:pPr>
      <w:keepNext/>
      <w:numPr>
        <w:ilvl w:val="4"/>
        <w:numId w:val="1"/>
      </w:numPr>
      <w:spacing w:before="120"/>
      <w:outlineLvl w:val="4"/>
    </w:pPr>
    <w:rPr>
      <w:b/>
      <w:bCs/>
      <w:i/>
      <w:iCs/>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outlineLvl w:val="8"/>
    </w:pPr>
    <w:rPr>
      <w:rFonts w:ascii="Arial" w:hAnsi="Arial" w:cs="Arial"/>
    </w:r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11">
    <w:name w:val="List 3"/>
    <w:basedOn w:val="1"/>
    <w:semiHidden/>
    <w:unhideWhenUsed/>
    <w:qFormat/>
    <w:uiPriority w:val="0"/>
    <w:pPr>
      <w:ind w:left="100" w:leftChars="400" w:hanging="200" w:hangingChars="200"/>
      <w:contextualSpacing/>
    </w:pPr>
  </w:style>
  <w:style w:type="paragraph" w:styleId="12">
    <w:name w:val="caption"/>
    <w:basedOn w:val="1"/>
    <w:next w:val="1"/>
    <w:link w:val="34"/>
    <w:qFormat/>
    <w:uiPriority w:val="0"/>
    <w:pPr>
      <w:jc w:val="center"/>
    </w:pPr>
    <w:rPr>
      <w:b/>
      <w:bCs/>
      <w:sz w:val="20"/>
      <w:szCs w:val="20"/>
    </w:rPr>
  </w:style>
  <w:style w:type="paragraph" w:styleId="13">
    <w:name w:val="List Bullet"/>
    <w:basedOn w:val="14"/>
    <w:qFormat/>
    <w:uiPriority w:val="0"/>
    <w:pPr>
      <w:autoSpaceDE/>
      <w:autoSpaceDN/>
      <w:adjustRightInd/>
      <w:spacing w:after="180"/>
      <w:ind w:left="568" w:hanging="284"/>
      <w:jc w:val="left"/>
    </w:pPr>
    <w:rPr>
      <w:sz w:val="20"/>
      <w:szCs w:val="20"/>
      <w:lang w:val="en-GB"/>
    </w:rPr>
  </w:style>
  <w:style w:type="paragraph" w:styleId="14">
    <w:name w:val="List"/>
    <w:basedOn w:val="1"/>
    <w:qFormat/>
    <w:uiPriority w:val="0"/>
    <w:pPr>
      <w:ind w:left="360" w:hanging="360"/>
    </w:pPr>
  </w:style>
  <w:style w:type="paragraph" w:styleId="15">
    <w:name w:val="Document Map"/>
    <w:basedOn w:val="1"/>
    <w:link w:val="56"/>
    <w:semiHidden/>
    <w:unhideWhenUsed/>
    <w:qFormat/>
    <w:uiPriority w:val="0"/>
    <w:rPr>
      <w:rFonts w:ascii="宋体" w:eastAsia="宋体"/>
      <w:sz w:val="18"/>
      <w:szCs w:val="18"/>
    </w:rPr>
  </w:style>
  <w:style w:type="paragraph" w:styleId="16">
    <w:name w:val="annotation text"/>
    <w:basedOn w:val="1"/>
    <w:link w:val="43"/>
    <w:qFormat/>
    <w:uiPriority w:val="0"/>
    <w:rPr>
      <w:sz w:val="20"/>
      <w:szCs w:val="20"/>
    </w:rPr>
  </w:style>
  <w:style w:type="paragraph" w:styleId="17">
    <w:name w:val="Body Text"/>
    <w:basedOn w:val="1"/>
    <w:link w:val="33"/>
    <w:qFormat/>
    <w:uiPriority w:val="0"/>
    <w:rPr>
      <w:sz w:val="20"/>
      <w:szCs w:val="20"/>
    </w:rPr>
  </w:style>
  <w:style w:type="paragraph" w:styleId="18">
    <w:name w:val="List 2"/>
    <w:basedOn w:val="1"/>
    <w:semiHidden/>
    <w:unhideWhenUsed/>
    <w:qFormat/>
    <w:uiPriority w:val="0"/>
    <w:pPr>
      <w:ind w:left="100" w:leftChars="200" w:hanging="200" w:hangingChars="200"/>
      <w:contextualSpacing/>
    </w:pPr>
  </w:style>
  <w:style w:type="paragraph" w:styleId="19">
    <w:name w:val="Balloon Text"/>
    <w:basedOn w:val="1"/>
    <w:semiHidden/>
    <w:qFormat/>
    <w:uiPriority w:val="0"/>
    <w:rPr>
      <w:rFonts w:ascii="Tahoma" w:hAnsi="Tahoma" w:cs="Tahoma"/>
      <w:sz w:val="16"/>
      <w:szCs w:val="16"/>
    </w:rPr>
  </w:style>
  <w:style w:type="paragraph" w:styleId="20">
    <w:name w:val="footer"/>
    <w:basedOn w:val="1"/>
    <w:link w:val="41"/>
    <w:qFormat/>
    <w:uiPriority w:val="0"/>
    <w:pPr>
      <w:tabs>
        <w:tab w:val="center" w:pos="4680"/>
        <w:tab w:val="right" w:pos="9360"/>
      </w:tabs>
    </w:pPr>
  </w:style>
  <w:style w:type="paragraph" w:styleId="21">
    <w:name w:val="header"/>
    <w:basedOn w:val="1"/>
    <w:link w:val="40"/>
    <w:qFormat/>
    <w:uiPriority w:val="0"/>
    <w:pPr>
      <w:tabs>
        <w:tab w:val="center" w:pos="4680"/>
        <w:tab w:val="right" w:pos="9360"/>
      </w:tabs>
    </w:pPr>
  </w:style>
  <w:style w:type="paragraph" w:styleId="22">
    <w:name w:val="footnote text"/>
    <w:basedOn w:val="1"/>
    <w:semiHidden/>
    <w:qFormat/>
    <w:uiPriority w:val="0"/>
    <w:rPr>
      <w:sz w:val="20"/>
      <w:szCs w:val="20"/>
    </w:rPr>
  </w:style>
  <w:style w:type="paragraph" w:styleId="23">
    <w:name w:val="Body Text 2"/>
    <w:basedOn w:val="1"/>
    <w:qFormat/>
    <w:uiPriority w:val="0"/>
    <w:pPr>
      <w:spacing w:after="0"/>
      <w:jc w:val="left"/>
    </w:pPr>
    <w:rPr>
      <w:szCs w:val="20"/>
    </w:rPr>
  </w:style>
  <w:style w:type="paragraph" w:styleId="24">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25">
    <w:name w:val="annotation subject"/>
    <w:basedOn w:val="16"/>
    <w:next w:val="16"/>
    <w:link w:val="44"/>
    <w:qFormat/>
    <w:uiPriority w:val="0"/>
    <w:rPr>
      <w:b/>
      <w:bCs/>
    </w:rPr>
  </w:style>
  <w:style w:type="table" w:styleId="27">
    <w:name w:val="Table Grid"/>
    <w:basedOn w:val="26"/>
    <w:qFormat/>
    <w:uiPriority w:val="5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qFormat/>
    <w:uiPriority w:val="0"/>
    <w:rPr>
      <w:color w:val="800080"/>
      <w:kern w:val="2"/>
      <w:u w:val="single"/>
      <w:lang w:val="en-GB" w:eastAsia="zh-CN" w:bidi="ar-SA"/>
    </w:rPr>
  </w:style>
  <w:style w:type="character" w:styleId="30">
    <w:name w:val="Hyperlink"/>
    <w:qFormat/>
    <w:uiPriority w:val="0"/>
    <w:rPr>
      <w:color w:val="0000FF"/>
      <w:kern w:val="2"/>
      <w:u w:val="single"/>
      <w:lang w:val="en-GB" w:eastAsia="zh-CN" w:bidi="ar-SA"/>
    </w:rPr>
  </w:style>
  <w:style w:type="character" w:styleId="31">
    <w:name w:val="annotation reference"/>
    <w:qFormat/>
    <w:uiPriority w:val="0"/>
    <w:rPr>
      <w:kern w:val="2"/>
      <w:sz w:val="16"/>
      <w:szCs w:val="16"/>
      <w:lang w:val="en-GB" w:eastAsia="zh-CN" w:bidi="ar-SA"/>
    </w:rPr>
  </w:style>
  <w:style w:type="character" w:styleId="32">
    <w:name w:val="footnote reference"/>
    <w:semiHidden/>
    <w:qFormat/>
    <w:uiPriority w:val="0"/>
    <w:rPr>
      <w:kern w:val="2"/>
      <w:vertAlign w:val="superscript"/>
      <w:lang w:val="en-GB" w:eastAsia="zh-CN" w:bidi="ar-SA"/>
    </w:rPr>
  </w:style>
  <w:style w:type="character" w:customStyle="1" w:styleId="33">
    <w:name w:val="正文文本 Char"/>
    <w:basedOn w:val="28"/>
    <w:link w:val="17"/>
    <w:qFormat/>
    <w:uiPriority w:val="0"/>
  </w:style>
  <w:style w:type="character" w:customStyle="1" w:styleId="34">
    <w:name w:val="题注 Char"/>
    <w:link w:val="12"/>
    <w:qFormat/>
    <w:uiPriority w:val="0"/>
    <w:rPr>
      <w:b/>
      <w:bCs/>
      <w:lang w:eastAsia="en-US"/>
    </w:rPr>
  </w:style>
  <w:style w:type="paragraph" w:customStyle="1" w:styleId="35">
    <w:name w:val="References"/>
    <w:basedOn w:val="1"/>
    <w:qFormat/>
    <w:uiPriority w:val="0"/>
    <w:pPr>
      <w:adjustRightInd/>
      <w:spacing w:after="60"/>
    </w:pPr>
    <w:rPr>
      <w:sz w:val="20"/>
      <w:szCs w:val="16"/>
    </w:rPr>
  </w:style>
  <w:style w:type="paragraph" w:customStyle="1" w:styleId="36">
    <w:name w:val="_Style 26"/>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7">
    <w:name w:val="Figure"/>
    <w:basedOn w:val="1"/>
    <w:qFormat/>
    <w:uiPriority w:val="0"/>
    <w:pPr>
      <w:keepNext/>
      <w:jc w:val="center"/>
    </w:pPr>
  </w:style>
  <w:style w:type="paragraph" w:customStyle="1" w:styleId="38">
    <w:name w:val="Eqn"/>
    <w:basedOn w:val="1"/>
    <w:qFormat/>
    <w:uiPriority w:val="0"/>
    <w:pPr>
      <w:tabs>
        <w:tab w:val="center" w:pos="4608"/>
        <w:tab w:val="right" w:pos="9216"/>
      </w:tabs>
    </w:pPr>
    <w:rPr>
      <w:lang w:eastAsia="ja-JP"/>
    </w:rPr>
  </w:style>
  <w:style w:type="paragraph" w:customStyle="1" w:styleId="39">
    <w:name w:val="tablecell"/>
    <w:basedOn w:val="1"/>
    <w:qFormat/>
    <w:uiPriority w:val="0"/>
    <w:pPr>
      <w:spacing w:before="20" w:after="20"/>
      <w:jc w:val="left"/>
    </w:pPr>
  </w:style>
  <w:style w:type="character" w:customStyle="1" w:styleId="40">
    <w:name w:val="页眉 Char"/>
    <w:link w:val="21"/>
    <w:qFormat/>
    <w:uiPriority w:val="0"/>
    <w:rPr>
      <w:kern w:val="2"/>
      <w:sz w:val="22"/>
      <w:szCs w:val="22"/>
      <w:lang w:val="en-GB" w:eastAsia="zh-CN" w:bidi="ar-SA"/>
    </w:rPr>
  </w:style>
  <w:style w:type="character" w:customStyle="1" w:styleId="41">
    <w:name w:val="页脚 Char"/>
    <w:link w:val="20"/>
    <w:qFormat/>
    <w:uiPriority w:val="0"/>
    <w:rPr>
      <w:kern w:val="2"/>
      <w:sz w:val="22"/>
      <w:szCs w:val="22"/>
      <w:lang w:val="en-GB" w:eastAsia="zh-CN" w:bidi="ar-SA"/>
    </w:rPr>
  </w:style>
  <w:style w:type="paragraph" w:customStyle="1" w:styleId="42">
    <w:name w:val="tablecol"/>
    <w:basedOn w:val="39"/>
    <w:qFormat/>
    <w:uiPriority w:val="0"/>
    <w:pPr>
      <w:jc w:val="center"/>
    </w:pPr>
    <w:rPr>
      <w:b/>
    </w:rPr>
  </w:style>
  <w:style w:type="character" w:customStyle="1" w:styleId="43">
    <w:name w:val="批注文字 Char"/>
    <w:basedOn w:val="28"/>
    <w:link w:val="16"/>
    <w:qFormat/>
    <w:uiPriority w:val="0"/>
  </w:style>
  <w:style w:type="character" w:customStyle="1" w:styleId="44">
    <w:name w:val="批注主题 Char"/>
    <w:link w:val="25"/>
    <w:qFormat/>
    <w:uiPriority w:val="0"/>
    <w:rPr>
      <w:b/>
      <w:bCs/>
      <w:kern w:val="2"/>
      <w:lang w:val="en-GB" w:eastAsia="zh-CN" w:bidi="ar-SA"/>
    </w:rPr>
  </w:style>
  <w:style w:type="paragraph" w:styleId="45">
    <w:name w:val="List Paragraph"/>
    <w:basedOn w:val="1"/>
    <w:link w:val="66"/>
    <w:qFormat/>
    <w:uiPriority w:val="34"/>
    <w:pPr>
      <w:ind w:firstLine="420" w:firstLineChars="200"/>
    </w:pPr>
  </w:style>
  <w:style w:type="paragraph" w:customStyle="1" w:styleId="46">
    <w:name w:val="B1"/>
    <w:basedOn w:val="14"/>
    <w:link w:val="47"/>
    <w:qFormat/>
    <w:uiPriority w:val="0"/>
    <w:pPr>
      <w:overflowPunct w:val="0"/>
      <w:snapToGrid/>
      <w:spacing w:after="180"/>
      <w:ind w:left="568" w:hanging="284"/>
      <w:jc w:val="left"/>
      <w:textAlignment w:val="baseline"/>
    </w:pPr>
    <w:rPr>
      <w:rFonts w:eastAsia="Times New Roman"/>
      <w:sz w:val="20"/>
      <w:szCs w:val="20"/>
    </w:rPr>
  </w:style>
  <w:style w:type="character" w:customStyle="1" w:styleId="47">
    <w:name w:val="B1 Char1"/>
    <w:link w:val="46"/>
    <w:qFormat/>
    <w:uiPriority w:val="0"/>
    <w:rPr>
      <w:rFonts w:eastAsia="Times New Roman"/>
    </w:rPr>
  </w:style>
  <w:style w:type="paragraph" w:customStyle="1" w:styleId="48">
    <w:name w:val="B2"/>
    <w:basedOn w:val="18"/>
    <w:link w:val="65"/>
    <w:qFormat/>
    <w:uiPriority w:val="0"/>
    <w:pPr>
      <w:overflowPunct w:val="0"/>
      <w:snapToGrid/>
      <w:spacing w:after="180"/>
      <w:ind w:left="851" w:leftChars="0" w:hanging="284" w:firstLineChars="0"/>
      <w:contextualSpacing w:val="0"/>
      <w:jc w:val="left"/>
      <w:textAlignment w:val="baseline"/>
    </w:pPr>
    <w:rPr>
      <w:rFonts w:eastAsia="Times New Roman"/>
      <w:sz w:val="20"/>
      <w:szCs w:val="20"/>
    </w:rPr>
  </w:style>
  <w:style w:type="paragraph" w:customStyle="1" w:styleId="49">
    <w:name w:val="TAH"/>
    <w:basedOn w:val="50"/>
    <w:link w:val="55"/>
    <w:qFormat/>
    <w:uiPriority w:val="0"/>
    <w:rPr>
      <w:b/>
    </w:rPr>
  </w:style>
  <w:style w:type="paragraph" w:customStyle="1" w:styleId="50">
    <w:name w:val="TAC"/>
    <w:basedOn w:val="51"/>
    <w:link w:val="54"/>
    <w:qFormat/>
    <w:uiPriority w:val="0"/>
    <w:pPr>
      <w:keepNext/>
      <w:keepLines/>
      <w:overflowPunct w:val="0"/>
      <w:snapToGrid/>
      <w:spacing w:after="0"/>
      <w:jc w:val="center"/>
      <w:textAlignment w:val="baseline"/>
    </w:pPr>
    <w:rPr>
      <w:rFonts w:ascii="Arial" w:hAnsi="Arial" w:eastAsia="Times New Roman"/>
      <w:sz w:val="18"/>
      <w:szCs w:val="20"/>
      <w:lang w:val="en-GB" w:eastAsia="en-GB"/>
    </w:rPr>
  </w:style>
  <w:style w:type="paragraph" w:customStyle="1" w:styleId="51">
    <w:name w:val="TAL"/>
    <w:basedOn w:val="1"/>
    <w:link w:val="59"/>
    <w:qFormat/>
    <w:uiPriority w:val="0"/>
    <w:pPr>
      <w:keepNext/>
      <w:keepLines/>
      <w:overflowPunct w:val="0"/>
      <w:snapToGrid/>
      <w:spacing w:after="0"/>
      <w:jc w:val="left"/>
      <w:textAlignment w:val="baseline"/>
    </w:pPr>
    <w:rPr>
      <w:rFonts w:ascii="Arial" w:hAnsi="Arial" w:eastAsia="Times New Roman"/>
      <w:sz w:val="18"/>
      <w:szCs w:val="20"/>
    </w:rPr>
  </w:style>
  <w:style w:type="paragraph" w:customStyle="1" w:styleId="52">
    <w:name w:val="TH"/>
    <w:basedOn w:val="1"/>
    <w:link w:val="53"/>
    <w:qFormat/>
    <w:uiPriority w:val="0"/>
    <w:pPr>
      <w:keepNext/>
      <w:keepLines/>
      <w:overflowPunct w:val="0"/>
      <w:snapToGrid/>
      <w:spacing w:before="60" w:after="180"/>
      <w:jc w:val="center"/>
      <w:textAlignment w:val="baseline"/>
    </w:pPr>
    <w:rPr>
      <w:rFonts w:ascii="Arial" w:hAnsi="Arial" w:eastAsia="Times New Roman"/>
      <w:b/>
      <w:sz w:val="20"/>
      <w:szCs w:val="20"/>
      <w:lang w:val="en-GB" w:eastAsia="en-GB"/>
    </w:rPr>
  </w:style>
  <w:style w:type="character" w:customStyle="1" w:styleId="53">
    <w:name w:val="TH Char"/>
    <w:link w:val="52"/>
    <w:qFormat/>
    <w:uiPriority w:val="0"/>
    <w:rPr>
      <w:rFonts w:ascii="Arial" w:hAnsi="Arial" w:eastAsia="Times New Roman"/>
      <w:b/>
      <w:lang w:val="en-GB" w:eastAsia="en-GB"/>
    </w:rPr>
  </w:style>
  <w:style w:type="character" w:customStyle="1" w:styleId="54">
    <w:name w:val="TAC Char"/>
    <w:link w:val="50"/>
    <w:qFormat/>
    <w:locked/>
    <w:uiPriority w:val="0"/>
    <w:rPr>
      <w:rFonts w:ascii="Arial" w:hAnsi="Arial" w:eastAsia="Times New Roman"/>
      <w:sz w:val="18"/>
      <w:lang w:val="en-GB" w:eastAsia="en-GB"/>
    </w:rPr>
  </w:style>
  <w:style w:type="character" w:customStyle="1" w:styleId="55">
    <w:name w:val="TAH Car"/>
    <w:link w:val="49"/>
    <w:qFormat/>
    <w:uiPriority w:val="0"/>
    <w:rPr>
      <w:rFonts w:ascii="Arial" w:hAnsi="Arial" w:eastAsia="Times New Roman"/>
      <w:b/>
      <w:sz w:val="18"/>
      <w:lang w:val="en-GB" w:eastAsia="en-GB"/>
    </w:rPr>
  </w:style>
  <w:style w:type="character" w:customStyle="1" w:styleId="56">
    <w:name w:val="文档结构图 Char"/>
    <w:basedOn w:val="28"/>
    <w:link w:val="15"/>
    <w:semiHidden/>
    <w:qFormat/>
    <w:uiPriority w:val="0"/>
    <w:rPr>
      <w:rFonts w:ascii="宋体" w:eastAsia="宋体"/>
      <w:sz w:val="18"/>
      <w:szCs w:val="18"/>
      <w:lang w:eastAsia="en-US"/>
    </w:rPr>
  </w:style>
  <w:style w:type="paragraph" w:customStyle="1" w:styleId="57">
    <w:name w:val="修订1"/>
    <w:hidden/>
    <w:semiHidden/>
    <w:qFormat/>
    <w:uiPriority w:val="99"/>
    <w:rPr>
      <w:rFonts w:ascii="Times New Roman" w:hAnsi="Times New Roman" w:cs="Times New Roman" w:eastAsiaTheme="minorEastAsia"/>
      <w:sz w:val="22"/>
      <w:szCs w:val="22"/>
      <w:lang w:val="en-US" w:eastAsia="en-US" w:bidi="ar-SA"/>
    </w:rPr>
  </w:style>
  <w:style w:type="paragraph" w:customStyle="1" w:styleId="58">
    <w:name w:val="Reference"/>
    <w:basedOn w:val="1"/>
    <w:qFormat/>
    <w:uiPriority w:val="0"/>
    <w:pPr>
      <w:numPr>
        <w:ilvl w:val="0"/>
        <w:numId w:val="2"/>
      </w:numPr>
      <w:overflowPunct w:val="0"/>
      <w:snapToGrid/>
      <w:textAlignment w:val="baseline"/>
    </w:pPr>
    <w:rPr>
      <w:rFonts w:ascii="Arial" w:hAnsi="Arial"/>
      <w:sz w:val="20"/>
      <w:szCs w:val="20"/>
      <w:lang w:val="en-GB" w:eastAsia="zh-CN"/>
    </w:rPr>
  </w:style>
  <w:style w:type="character" w:customStyle="1" w:styleId="59">
    <w:name w:val="TAL Car"/>
    <w:link w:val="51"/>
    <w:qFormat/>
    <w:uiPriority w:val="0"/>
    <w:rPr>
      <w:rFonts w:ascii="Arial" w:hAnsi="Arial" w:eastAsia="Times New Roman"/>
      <w:sz w:val="18"/>
    </w:rPr>
  </w:style>
  <w:style w:type="paragraph" w:customStyle="1" w:styleId="60">
    <w:name w:val="Proposal"/>
    <w:basedOn w:val="1"/>
    <w:link w:val="61"/>
    <w:qFormat/>
    <w:uiPriority w:val="0"/>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61">
    <w:name w:val="Proposal Char"/>
    <w:link w:val="60"/>
    <w:qFormat/>
    <w:uiPriority w:val="0"/>
    <w:rPr>
      <w:rFonts w:eastAsia="Times New Roman"/>
      <w:b/>
      <w:bCs/>
      <w:lang w:val="en-GB"/>
    </w:rPr>
  </w:style>
  <w:style w:type="character" w:styleId="62">
    <w:name w:val="Placeholder Text"/>
    <w:basedOn w:val="28"/>
    <w:semiHidden/>
    <w:qFormat/>
    <w:uiPriority w:val="99"/>
    <w:rPr>
      <w:color w:val="808080"/>
    </w:rPr>
  </w:style>
  <w:style w:type="paragraph" w:customStyle="1" w:styleId="63">
    <w:name w:val="B3"/>
    <w:basedOn w:val="11"/>
    <w:qFormat/>
    <w:uiPriority w:val="0"/>
    <w:pPr>
      <w:autoSpaceDE/>
      <w:autoSpaceDN/>
      <w:adjustRightInd/>
      <w:snapToGrid/>
      <w:spacing w:after="180"/>
      <w:ind w:left="1135" w:leftChars="0" w:hanging="284" w:firstLineChars="0"/>
      <w:contextualSpacing w:val="0"/>
      <w:jc w:val="left"/>
    </w:pPr>
    <w:rPr>
      <w:sz w:val="20"/>
      <w:szCs w:val="20"/>
      <w:lang w:val="en-GB"/>
    </w:rPr>
  </w:style>
  <w:style w:type="paragraph" w:customStyle="1" w:styleId="64">
    <w:name w:val="CR Cover Page"/>
    <w:qFormat/>
    <w:uiPriority w:val="0"/>
    <w:pPr>
      <w:spacing w:after="120"/>
    </w:pPr>
    <w:rPr>
      <w:rFonts w:ascii="Arial" w:hAnsi="Arial" w:cs="Times New Roman" w:eastAsiaTheme="minorEastAsia"/>
      <w:lang w:val="en-GB" w:eastAsia="en-US" w:bidi="ar-SA"/>
    </w:rPr>
  </w:style>
  <w:style w:type="character" w:customStyle="1" w:styleId="65">
    <w:name w:val="B2 Char"/>
    <w:link w:val="48"/>
    <w:qFormat/>
    <w:uiPriority w:val="0"/>
    <w:rPr>
      <w:rFonts w:eastAsia="Times New Roman"/>
      <w:lang w:eastAsia="en-US"/>
    </w:rPr>
  </w:style>
  <w:style w:type="character" w:customStyle="1" w:styleId="66">
    <w:name w:val="列出段落 Char"/>
    <w:link w:val="45"/>
    <w:qFormat/>
    <w:uiPriority w:val="34"/>
    <w:rPr>
      <w:sz w:val="22"/>
      <w:szCs w:val="22"/>
      <w:lang w:eastAsia="en-US"/>
    </w:rPr>
  </w:style>
  <w:style w:type="character" w:customStyle="1" w:styleId="67">
    <w:name w:val="B1 Char"/>
    <w:qFormat/>
    <w:uiPriority w:val="0"/>
    <w:rPr>
      <w:rFonts w:eastAsia="MS Mincho"/>
      <w:lang w:val="en-GB" w:eastAsia="en-US" w:bidi="ar-SA"/>
    </w:rPr>
  </w:style>
  <w:style w:type="paragraph" w:customStyle="1" w:styleId="68">
    <w:name w:val="Proposal_sub"/>
    <w:basedOn w:val="1"/>
    <w:link w:val="70"/>
    <w:qFormat/>
    <w:uiPriority w:val="0"/>
    <w:pPr>
      <w:numPr>
        <w:ilvl w:val="0"/>
        <w:numId w:val="3"/>
      </w:numPr>
      <w:autoSpaceDE/>
      <w:autoSpaceDN/>
      <w:adjustRightInd/>
      <w:snapToGrid/>
      <w:spacing w:before="120"/>
    </w:pPr>
    <w:rPr>
      <w:rFonts w:eastAsia="Malgun Gothic"/>
      <w:kern w:val="2"/>
      <w:sz w:val="20"/>
      <w:lang w:eastAsia="ko-KR"/>
    </w:rPr>
  </w:style>
  <w:style w:type="paragraph" w:customStyle="1" w:styleId="69">
    <w:name w:val="Proposal_sub_sub"/>
    <w:basedOn w:val="1"/>
    <w:link w:val="71"/>
    <w:qFormat/>
    <w:uiPriority w:val="0"/>
    <w:pPr>
      <w:numPr>
        <w:ilvl w:val="1"/>
        <w:numId w:val="3"/>
      </w:numPr>
      <w:autoSpaceDE/>
      <w:autoSpaceDN/>
      <w:adjustRightInd/>
      <w:snapToGrid/>
      <w:spacing w:before="120"/>
      <w:ind w:left="1593"/>
    </w:pPr>
    <w:rPr>
      <w:rFonts w:eastAsia="Malgun Gothic"/>
      <w:kern w:val="2"/>
      <w:sz w:val="20"/>
      <w:lang w:eastAsia="ko-KR"/>
    </w:rPr>
  </w:style>
  <w:style w:type="character" w:customStyle="1" w:styleId="70">
    <w:name w:val="Proposal_sub Char"/>
    <w:link w:val="68"/>
    <w:qFormat/>
    <w:uiPriority w:val="0"/>
    <w:rPr>
      <w:rFonts w:ascii="Times New Roman" w:hAnsi="Times New Roman" w:eastAsia="Malgun Gothic"/>
      <w:kern w:val="2"/>
      <w:szCs w:val="22"/>
      <w:lang w:eastAsia="ko-KR"/>
    </w:rPr>
  </w:style>
  <w:style w:type="character" w:customStyle="1" w:styleId="71">
    <w:name w:val="Proposal_sub_sub Char"/>
    <w:link w:val="69"/>
    <w:qFormat/>
    <w:uiPriority w:val="0"/>
    <w:rPr>
      <w:rFonts w:ascii="Times New Roman" w:hAnsi="Times New Roman" w:eastAsia="Malgun Gothic"/>
      <w:kern w:val="2"/>
      <w:szCs w:val="22"/>
      <w:lang w:eastAsia="ko-KR"/>
    </w:rPr>
  </w:style>
  <w:style w:type="paragraph" w:customStyle="1" w:styleId="72">
    <w:name w:val="rProposal"/>
    <w:basedOn w:val="1"/>
    <w:next w:val="1"/>
    <w:link w:val="73"/>
    <w:qFormat/>
    <w:uiPriority w:val="0"/>
    <w:pPr>
      <w:autoSpaceDE/>
      <w:autoSpaceDN/>
      <w:adjustRightInd/>
      <w:snapToGrid/>
      <w:spacing w:before="120"/>
      <w:ind w:left="1275" w:leftChars="213" w:hanging="849"/>
    </w:pPr>
    <w:rPr>
      <w:rFonts w:eastAsia="Malgun Gothic"/>
      <w:i/>
      <w:kern w:val="2"/>
      <w:lang w:eastAsia="ko-KR"/>
    </w:rPr>
  </w:style>
  <w:style w:type="character" w:customStyle="1" w:styleId="73">
    <w:name w:val="rProposal Char"/>
    <w:link w:val="72"/>
    <w:qFormat/>
    <w:uiPriority w:val="0"/>
    <w:rPr>
      <w:rFonts w:ascii="Times New Roman" w:hAnsi="Times New Roman" w:eastAsia="Malgun Gothic"/>
      <w:i/>
      <w:kern w:val="2"/>
      <w:sz w:val="22"/>
      <w:szCs w:val="22"/>
      <w:lang w:eastAsia="ko-KR"/>
    </w:rPr>
  </w:style>
  <w:style w:type="paragraph" w:customStyle="1" w:styleId="74">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75">
    <w:name w:val="PL Char"/>
    <w:link w:val="76"/>
    <w:qFormat/>
    <w:uiPriority w:val="0"/>
    <w:rPr>
      <w:rFonts w:ascii="MS LineDraw" w:hAnsi="MS LineDraw" w:eastAsia="MS LineDraw"/>
      <w:sz w:val="16"/>
      <w:lang w:val="en-US" w:eastAsia="zh-CN"/>
    </w:rPr>
  </w:style>
  <w:style w:type="paragraph" w:customStyle="1" w:styleId="76">
    <w:name w:val="PL"/>
    <w:link w:val="7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MS LineDraw" w:hAnsi="MS LineDraw" w:eastAsia="MS LineDraw" w:cs="Times New Roman"/>
      <w:sz w:val="16"/>
      <w:lang w:val="en-US" w:eastAsia="zh-CN" w:bidi="ar-SA"/>
    </w:rPr>
  </w:style>
  <w:style w:type="paragraph" w:customStyle="1" w:styleId="77">
    <w:name w:val="Doc-text2"/>
    <w:basedOn w:val="1"/>
    <w:link w:val="78"/>
    <w:qFormat/>
    <w:uiPriority w:val="0"/>
    <w:pPr>
      <w:tabs>
        <w:tab w:val="left" w:pos="1622"/>
      </w:tabs>
      <w:autoSpaceDE/>
      <w:autoSpaceDN/>
      <w:adjustRightInd/>
      <w:snapToGrid/>
      <w:spacing w:after="0"/>
      <w:ind w:left="1622" w:hanging="363"/>
      <w:jc w:val="left"/>
    </w:pPr>
    <w:rPr>
      <w:rFonts w:ascii="Arial" w:hAnsi="Arial" w:eastAsia="Yu Gothic" w:cs="Calibri"/>
      <w:sz w:val="20"/>
      <w:lang w:val="zh-CN" w:eastAsia="zh-CN"/>
    </w:rPr>
  </w:style>
  <w:style w:type="character" w:customStyle="1" w:styleId="78">
    <w:name w:val="Doc-text2 Char"/>
    <w:link w:val="77"/>
    <w:qFormat/>
    <w:uiPriority w:val="0"/>
    <w:rPr>
      <w:rFonts w:ascii="Arial" w:hAnsi="Arial" w:eastAsia="Yu Gothic" w:cs="Calibri"/>
      <w:szCs w:val="22"/>
      <w:lang w:val="zh-CN" w:eastAsia="zh-CN"/>
    </w:rPr>
  </w:style>
  <w:style w:type="table" w:customStyle="1" w:styleId="79">
    <w:name w:val="网格型1"/>
    <w:basedOn w:val="26"/>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0">
    <w:name w:val="修订2"/>
    <w:hidden/>
    <w:semiHidden/>
    <w:qFormat/>
    <w:uiPriority w:val="99"/>
    <w:rPr>
      <w:rFonts w:ascii="Times New Roman" w:hAnsi="Times New Roman" w:cs="Times New Roman" w:eastAsiaTheme="minorEastAsia"/>
      <w:sz w:val="22"/>
      <w:szCs w:val="22"/>
      <w:lang w:val="en-US" w:eastAsia="en-US" w:bidi="ar-SA"/>
    </w:rPr>
  </w:style>
  <w:style w:type="character" w:customStyle="1" w:styleId="81">
    <w:name w:val="列出段落 Char1"/>
    <w:basedOn w:val="28"/>
    <w:link w:val="82"/>
    <w:qFormat/>
    <w:uiPriority w:val="0"/>
    <w:rPr>
      <w:rFonts w:hint="default" w:ascii="Times" w:hAnsi="Times" w:eastAsia="Times" w:cs="Times"/>
      <w:szCs w:val="24"/>
      <w:lang w:val="en-US"/>
    </w:rPr>
  </w:style>
  <w:style w:type="paragraph" w:customStyle="1" w:styleId="82">
    <w:name w:val="列出段落"/>
    <w:basedOn w:val="1"/>
    <w:link w:val="81"/>
    <w:qFormat/>
    <w:uiPriority w:val="0"/>
    <w:pPr>
      <w:keepNext w:val="0"/>
      <w:keepLines w:val="0"/>
      <w:widowControl/>
      <w:suppressLineNumbers w:val="0"/>
      <w:spacing w:before="0" w:beforeAutospacing="0" w:after="0" w:afterAutospacing="0"/>
      <w:ind w:left="840" w:leftChars="400" w:right="0"/>
      <w:jc w:val="left"/>
    </w:pPr>
    <w:rPr>
      <w:rFonts w:hint="default" w:ascii="Times" w:hAnsi="Times" w:eastAsia="Batang" w:cs="Times New Roman"/>
      <w:kern w:val="0"/>
      <w:sz w:val="20"/>
      <w:szCs w:val="24"/>
      <w:lang w:val="en-US" w:eastAsia="zh-CN" w:bidi="ar"/>
    </w:rPr>
  </w:style>
  <w:style w:type="character" w:customStyle="1" w:styleId="83">
    <w:name w:val="正文文本 Char1"/>
    <w:basedOn w:val="28"/>
    <w:qFormat/>
    <w:uiPriority w:val="0"/>
    <w:rPr>
      <w:rFonts w:hint="default" w:ascii="Times" w:hAnsi="Times" w:eastAsia="Times" w:cs="Times"/>
      <w:szCs w:val="24"/>
      <w:lang w:val="en-US"/>
    </w:rPr>
  </w:style>
  <w:style w:type="character" w:customStyle="1" w:styleId="84">
    <w:name w:val="题注 Char1"/>
    <w:basedOn w:val="28"/>
    <w:qFormat/>
    <w:uiPriority w:val="0"/>
    <w:rPr>
      <w:rFonts w:hint="default" w:ascii="Times New Roman" w:hAnsi="Times New Roman" w:eastAsia="Times New Roman" w:cs="Times New Roman"/>
      <w:b/>
      <w:lang w:val="en-US" w:eastAsia="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F1B8A5-6193-4383-8578-0EB2D491C523}">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10</Pages>
  <Words>3243</Words>
  <Characters>18489</Characters>
  <Lines>154</Lines>
  <Paragraphs>43</Paragraphs>
  <TotalTime>1030</TotalTime>
  <ScaleCrop>false</ScaleCrop>
  <LinksUpToDate>false</LinksUpToDate>
  <CharactersWithSpaces>21689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2021-01-15T02:26:00Z</dcterms:created>
  <dc:creator>ZTE</dc:creator>
  <cp:lastModifiedBy>10102406</cp:lastModifiedBy>
  <cp:lastPrinted>2007-06-18T09:08:00Z</cp:lastPrinted>
  <dcterms:modified xsi:type="dcterms:W3CDTF">2021-11-05T01:59:24Z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(3)hJNB9JEI7kEipuVTvgaQs4kgFtgORukai1RYpOBOHE86e9JTh45X4eQe8FNR1CqxNRmlRkl+
CGmlWEzQ5zXHsiM3BvJ8fuYNedYVWxE98BVYbDo4q87MhrEiTQt11J29LNAdmplXiMctQFYh
sKVlHXq94dD63j8VMXMKmYalsHBCrrR00lgBRSAy6bCZ4/KeqX1yRJA88xd6uRUxJRRnwweg
+7feg61Q6tPgYtS9Mv</vt:lpwstr>
  </property>
  <property fmtid="{D5CDD505-2E9C-101B-9397-08002B2CF9AE}" pid="13" name="_2015_ms_pID_725343_00">
    <vt:lpwstr>_2015_ms_pID_725343</vt:lpwstr>
  </property>
  <property fmtid="{D5CDD505-2E9C-101B-9397-08002B2CF9AE}" pid="14" name="_2015_ms_pID_7253431">
    <vt:lpwstr>bB7fR0PfVIkWFK4lI3w3kSmZuQUfWOCWUBdpIthpxGQQ2Bjirzu4XR
oquhoYnyXsAnCdUrrbctd6T38U5sdlJH8k6TgSYvBfUUZR1a98Qjzo8GmqP+W5poRI0JyB3S
K8pv5ppvH+ielFD1tg7D/WqKP+mxJDIlRuLBjKsEK+0s3yxDBS0C1na5QU7FVPMcgTJ7KXxc
cbJB4lGzAbgJ85RkoDI6YRH+O6QM1/fufgyM</vt:lpwstr>
  </property>
  <property fmtid="{D5CDD505-2E9C-101B-9397-08002B2CF9AE}" pid="15" name="_2015_ms_pID_7253431_00">
    <vt:lpwstr>_2015_ms_pID_7253431</vt:lpwstr>
  </property>
  <property fmtid="{D5CDD505-2E9C-101B-9397-08002B2CF9AE}" pid="16" name="_2015_ms_pID_7253432">
    <vt:lpwstr>+l61CT+mjKQhaBRUrr/QuU4q4su/C9n4/jKJ
P6Z6rBn7pWN3QcFCR4eh//VGGB4Z1A==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1538190888</vt:lpwstr>
  </property>
  <property fmtid="{D5CDD505-2E9C-101B-9397-08002B2CF9AE}" pid="22" name="KSOProductBuildVer">
    <vt:lpwstr>2052-11.8.2.9022</vt:lpwstr>
  </property>
</Properties>
</file>